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D1EB" w14:textId="77777777" w:rsidR="001A5C11" w:rsidRDefault="001A5C11" w:rsidP="00242BA9">
      <w:pPr>
        <w:spacing w:after="0"/>
        <w:jc w:val="center"/>
        <w:rPr>
          <w:b/>
          <w:sz w:val="24"/>
          <w:szCs w:val="24"/>
        </w:rPr>
      </w:pPr>
    </w:p>
    <w:p w14:paraId="6B3E1C41" w14:textId="77777777" w:rsidR="00C22CF5" w:rsidRPr="00D91205" w:rsidRDefault="00C22CF5" w:rsidP="00242BA9">
      <w:pPr>
        <w:spacing w:after="0"/>
        <w:jc w:val="center"/>
        <w:rPr>
          <w:b/>
          <w:sz w:val="28"/>
          <w:szCs w:val="28"/>
        </w:rPr>
      </w:pPr>
      <w:r w:rsidRPr="00D91205">
        <w:rPr>
          <w:b/>
          <w:sz w:val="28"/>
          <w:szCs w:val="28"/>
        </w:rPr>
        <w:t>ROSEVILLE WATER DEPARTMENT</w:t>
      </w:r>
    </w:p>
    <w:p w14:paraId="48CEDB6E" w14:textId="42B83235" w:rsidR="00C22CF5" w:rsidRPr="00D91205" w:rsidRDefault="00C22CF5" w:rsidP="00777BE4">
      <w:pPr>
        <w:spacing w:after="0"/>
        <w:jc w:val="center"/>
        <w:rPr>
          <w:b/>
          <w:sz w:val="28"/>
          <w:szCs w:val="28"/>
        </w:rPr>
      </w:pPr>
      <w:r w:rsidRPr="00D91205">
        <w:rPr>
          <w:b/>
          <w:sz w:val="28"/>
          <w:szCs w:val="28"/>
        </w:rPr>
        <w:t>Drinking Water Consumer Con</w:t>
      </w:r>
      <w:r w:rsidR="00E01FAD" w:rsidRPr="00D91205">
        <w:rPr>
          <w:b/>
          <w:sz w:val="28"/>
          <w:szCs w:val="28"/>
        </w:rPr>
        <w:t xml:space="preserve">fidence Report </w:t>
      </w:r>
      <w:proofErr w:type="gramStart"/>
      <w:r w:rsidR="00E01FAD" w:rsidRPr="00D91205">
        <w:rPr>
          <w:b/>
          <w:sz w:val="28"/>
          <w:szCs w:val="28"/>
        </w:rPr>
        <w:t>For</w:t>
      </w:r>
      <w:proofErr w:type="gramEnd"/>
      <w:r w:rsidR="00E01FAD" w:rsidRPr="00D91205">
        <w:rPr>
          <w:b/>
          <w:sz w:val="28"/>
          <w:szCs w:val="28"/>
        </w:rPr>
        <w:t xml:space="preserve"> the Year </w:t>
      </w:r>
      <w:r w:rsidR="00E967FB">
        <w:rPr>
          <w:b/>
          <w:sz w:val="28"/>
          <w:szCs w:val="28"/>
        </w:rPr>
        <w:t>20</w:t>
      </w:r>
      <w:r w:rsidR="00207694">
        <w:rPr>
          <w:b/>
          <w:sz w:val="28"/>
          <w:szCs w:val="28"/>
        </w:rPr>
        <w:t>2</w:t>
      </w:r>
      <w:r w:rsidR="005731CF">
        <w:rPr>
          <w:b/>
          <w:sz w:val="28"/>
          <w:szCs w:val="28"/>
        </w:rPr>
        <w:t>1</w:t>
      </w:r>
    </w:p>
    <w:p w14:paraId="42C4E181" w14:textId="77777777" w:rsidR="00C22CF5" w:rsidRDefault="00C22CF5" w:rsidP="00777BE4">
      <w:pPr>
        <w:spacing w:after="0"/>
        <w:rPr>
          <w:b/>
        </w:rPr>
      </w:pPr>
    </w:p>
    <w:p w14:paraId="160BE3D6" w14:textId="77777777" w:rsidR="001A5C11" w:rsidRPr="006B6690" w:rsidRDefault="001A5C11" w:rsidP="00777BE4">
      <w:pPr>
        <w:spacing w:after="0"/>
        <w:rPr>
          <w:b/>
        </w:rPr>
      </w:pPr>
    </w:p>
    <w:p w14:paraId="613057A4" w14:textId="33C83CB9" w:rsidR="00C22CF5" w:rsidRPr="001A5C11" w:rsidRDefault="00C22CF5" w:rsidP="00242BA9">
      <w:pPr>
        <w:spacing w:after="0"/>
        <w:jc w:val="both"/>
        <w:rPr>
          <w:sz w:val="20"/>
          <w:szCs w:val="20"/>
        </w:rPr>
      </w:pPr>
      <w:r w:rsidRPr="001A5C11">
        <w:rPr>
          <w:sz w:val="20"/>
          <w:szCs w:val="20"/>
        </w:rPr>
        <w:t>The Village of Roseville Water Department has prepared the following report to provide information to you, the consumer, on the quality of our drinking water. Included within this report is general information, water quality test results, how to participate in decisions concerning your drinking water and water system contacts. The Village of Roseville drinking water has met all EPA pri</w:t>
      </w:r>
      <w:r w:rsidR="00E01FAD" w:rsidRPr="001A5C11">
        <w:rPr>
          <w:sz w:val="20"/>
          <w:szCs w:val="20"/>
        </w:rPr>
        <w:t xml:space="preserve">mary standards for the year </w:t>
      </w:r>
      <w:r w:rsidR="00E967FB">
        <w:rPr>
          <w:sz w:val="20"/>
          <w:szCs w:val="20"/>
        </w:rPr>
        <w:t>20</w:t>
      </w:r>
      <w:r w:rsidR="00207694">
        <w:rPr>
          <w:sz w:val="20"/>
          <w:szCs w:val="20"/>
        </w:rPr>
        <w:t>2</w:t>
      </w:r>
      <w:r w:rsidR="005731CF">
        <w:rPr>
          <w:sz w:val="20"/>
          <w:szCs w:val="20"/>
        </w:rPr>
        <w:t>1</w:t>
      </w:r>
      <w:r w:rsidRPr="001A5C11">
        <w:rPr>
          <w:sz w:val="20"/>
          <w:szCs w:val="20"/>
        </w:rPr>
        <w:t>.</w:t>
      </w:r>
    </w:p>
    <w:p w14:paraId="169F12AF" w14:textId="77777777" w:rsidR="00C22CF5" w:rsidRPr="00777BE4" w:rsidRDefault="00C22CF5" w:rsidP="00242BA9">
      <w:pPr>
        <w:spacing w:after="0"/>
        <w:jc w:val="both"/>
        <w:rPr>
          <w:sz w:val="16"/>
          <w:szCs w:val="16"/>
        </w:rPr>
      </w:pPr>
    </w:p>
    <w:p w14:paraId="6F9C90D3" w14:textId="77777777" w:rsidR="00C22CF5" w:rsidRPr="00D91205" w:rsidRDefault="00C22CF5" w:rsidP="00242BA9">
      <w:pPr>
        <w:spacing w:after="0"/>
        <w:jc w:val="both"/>
        <w:rPr>
          <w:sz w:val="24"/>
          <w:szCs w:val="24"/>
        </w:rPr>
      </w:pPr>
      <w:r w:rsidRPr="00D91205">
        <w:rPr>
          <w:b/>
          <w:sz w:val="24"/>
          <w:szCs w:val="24"/>
        </w:rPr>
        <w:t>Source Water Information</w:t>
      </w:r>
    </w:p>
    <w:p w14:paraId="646CD2E8" w14:textId="66AE10DA" w:rsidR="00C22CF5" w:rsidRDefault="00C22CF5" w:rsidP="00242BA9">
      <w:pPr>
        <w:spacing w:after="0"/>
        <w:jc w:val="both"/>
        <w:rPr>
          <w:sz w:val="20"/>
          <w:szCs w:val="20"/>
        </w:rPr>
      </w:pPr>
      <w:r w:rsidRPr="001A5C11">
        <w:rPr>
          <w:sz w:val="20"/>
          <w:szCs w:val="20"/>
        </w:rPr>
        <w:t>The Roseville Water Department</w:t>
      </w:r>
      <w:r w:rsidR="00A87716">
        <w:rPr>
          <w:sz w:val="20"/>
          <w:szCs w:val="20"/>
        </w:rPr>
        <w:t xml:space="preserve">’s source of water </w:t>
      </w:r>
      <w:r w:rsidR="00E74C0B">
        <w:rPr>
          <w:sz w:val="20"/>
          <w:szCs w:val="20"/>
        </w:rPr>
        <w:t xml:space="preserve">changed </w:t>
      </w:r>
      <w:r w:rsidR="00E74C0B" w:rsidRPr="001A5C11">
        <w:rPr>
          <w:sz w:val="20"/>
          <w:szCs w:val="20"/>
        </w:rPr>
        <w:t>October</w:t>
      </w:r>
      <w:r w:rsidR="00E74C0B">
        <w:rPr>
          <w:sz w:val="20"/>
          <w:szCs w:val="20"/>
        </w:rPr>
        <w:t xml:space="preserve"> 1</w:t>
      </w:r>
      <w:r w:rsidR="005731CF">
        <w:rPr>
          <w:sz w:val="20"/>
          <w:szCs w:val="20"/>
        </w:rPr>
        <w:t>,</w:t>
      </w:r>
      <w:r w:rsidR="00E74C0B">
        <w:rPr>
          <w:sz w:val="20"/>
          <w:szCs w:val="20"/>
        </w:rPr>
        <w:t xml:space="preserve"> </w:t>
      </w:r>
      <w:proofErr w:type="gramStart"/>
      <w:r w:rsidR="00E74C0B">
        <w:rPr>
          <w:sz w:val="20"/>
          <w:szCs w:val="20"/>
        </w:rPr>
        <w:t>2020</w:t>
      </w:r>
      <w:proofErr w:type="gramEnd"/>
      <w:r w:rsidR="00E74C0B">
        <w:rPr>
          <w:sz w:val="20"/>
          <w:szCs w:val="20"/>
        </w:rPr>
        <w:t xml:space="preserve"> to Muskingum County Water System. </w:t>
      </w:r>
      <w:r w:rsidR="00814B71">
        <w:rPr>
          <w:sz w:val="20"/>
          <w:szCs w:val="20"/>
        </w:rPr>
        <w:t xml:space="preserve">Copy </w:t>
      </w:r>
      <w:r w:rsidR="007901ED">
        <w:rPr>
          <w:sz w:val="20"/>
          <w:szCs w:val="20"/>
        </w:rPr>
        <w:t>of MCWD</w:t>
      </w:r>
    </w:p>
    <w:p w14:paraId="4E0F1D96" w14:textId="3169A5A0" w:rsidR="007901ED" w:rsidRPr="001A5C11" w:rsidRDefault="007901ED" w:rsidP="00242BA9">
      <w:pPr>
        <w:spacing w:after="0"/>
        <w:jc w:val="both"/>
        <w:rPr>
          <w:sz w:val="20"/>
          <w:szCs w:val="20"/>
        </w:rPr>
      </w:pPr>
      <w:r>
        <w:rPr>
          <w:sz w:val="20"/>
          <w:szCs w:val="20"/>
        </w:rPr>
        <w:t xml:space="preserve">CCR can be viewed </w:t>
      </w:r>
      <w:r w:rsidR="008E39F6">
        <w:rPr>
          <w:sz w:val="20"/>
          <w:szCs w:val="20"/>
        </w:rPr>
        <w:t xml:space="preserve">@ </w:t>
      </w:r>
      <w:r w:rsidR="008E39F6" w:rsidRPr="008E39F6">
        <w:rPr>
          <w:sz w:val="20"/>
          <w:szCs w:val="20"/>
        </w:rPr>
        <w:t>https://www.muskingumcountyoh.gov/Agencies/Utilities/Water/#undefined2</w:t>
      </w:r>
    </w:p>
    <w:p w14:paraId="3DE3E99F" w14:textId="77777777" w:rsidR="00C22CF5" w:rsidRDefault="00C22CF5" w:rsidP="00242BA9">
      <w:pPr>
        <w:spacing w:after="0"/>
        <w:jc w:val="both"/>
        <w:rPr>
          <w:sz w:val="16"/>
          <w:szCs w:val="16"/>
        </w:rPr>
      </w:pPr>
    </w:p>
    <w:p w14:paraId="6B863C58" w14:textId="77777777" w:rsidR="001A5C11" w:rsidRPr="00777BE4" w:rsidRDefault="001A5C11" w:rsidP="00242BA9">
      <w:pPr>
        <w:spacing w:after="0"/>
        <w:jc w:val="both"/>
        <w:rPr>
          <w:sz w:val="16"/>
          <w:szCs w:val="16"/>
        </w:rPr>
      </w:pPr>
    </w:p>
    <w:p w14:paraId="17C5F608" w14:textId="77777777" w:rsidR="00C22CF5" w:rsidRPr="00D91205" w:rsidRDefault="00C22CF5" w:rsidP="00242BA9">
      <w:pPr>
        <w:spacing w:after="0"/>
        <w:jc w:val="both"/>
        <w:rPr>
          <w:b/>
          <w:sz w:val="24"/>
          <w:szCs w:val="24"/>
        </w:rPr>
      </w:pPr>
      <w:r w:rsidRPr="00D91205">
        <w:rPr>
          <w:b/>
          <w:sz w:val="24"/>
          <w:szCs w:val="24"/>
        </w:rPr>
        <w:t>What are sources of contamination in drinking water?</w:t>
      </w:r>
    </w:p>
    <w:p w14:paraId="207C4057" w14:textId="77777777" w:rsidR="00C22CF5" w:rsidRPr="001A5C11" w:rsidRDefault="00C22CF5" w:rsidP="00242BA9">
      <w:pPr>
        <w:spacing w:after="0"/>
        <w:jc w:val="both"/>
        <w:rPr>
          <w:sz w:val="20"/>
          <w:szCs w:val="20"/>
        </w:rPr>
      </w:pPr>
      <w:r w:rsidRPr="001A5C11">
        <w:rPr>
          <w:sz w:val="20"/>
          <w:szCs w:val="20"/>
        </w:rPr>
        <w:t xml:space="preserve">The sources of drinking water, both tap and bottled water, includes rivers, lakes, streams, ponds, reservoirs, </w:t>
      </w:r>
      <w:proofErr w:type="gramStart"/>
      <w:r w:rsidRPr="001A5C11">
        <w:rPr>
          <w:sz w:val="20"/>
          <w:szCs w:val="20"/>
        </w:rPr>
        <w:t>springs</w:t>
      </w:r>
      <w:proofErr w:type="gramEnd"/>
      <w:r w:rsidRPr="001A5C11">
        <w:rPr>
          <w:sz w:val="20"/>
          <w:szCs w:val="20"/>
        </w:rPr>
        <w:t xml:space="preserve"> and wells. As water travels over the surface of the land or through the ground, it dissolves naturally occurring materials and, in some cases, radioactive material, and can pick up substances resulting from the presence of animal and human activity.</w:t>
      </w:r>
    </w:p>
    <w:p w14:paraId="59BCFC41" w14:textId="77777777" w:rsidR="00C22CF5" w:rsidRPr="001A5C11" w:rsidRDefault="00C22CF5" w:rsidP="00242BA9">
      <w:pPr>
        <w:spacing w:after="0"/>
        <w:jc w:val="both"/>
        <w:rPr>
          <w:sz w:val="20"/>
          <w:szCs w:val="20"/>
        </w:rPr>
      </w:pPr>
    </w:p>
    <w:p w14:paraId="422641B9" w14:textId="77777777" w:rsidR="00C22CF5" w:rsidRPr="001A5C11" w:rsidRDefault="00C22CF5" w:rsidP="00242BA9">
      <w:pPr>
        <w:spacing w:after="0"/>
        <w:jc w:val="both"/>
        <w:rPr>
          <w:sz w:val="20"/>
          <w:szCs w:val="20"/>
        </w:rPr>
      </w:pPr>
      <w:r w:rsidRPr="001A5C11">
        <w:rPr>
          <w:sz w:val="20"/>
          <w:szCs w:val="20"/>
        </w:rPr>
        <w:t xml:space="preserve">Contaminants that may be present in source water include:  (A) </w:t>
      </w:r>
      <w:r w:rsidRPr="001A5C11">
        <w:rPr>
          <w:b/>
          <w:sz w:val="20"/>
          <w:szCs w:val="20"/>
        </w:rPr>
        <w:t>Microbial contaminants</w:t>
      </w:r>
      <w:r w:rsidRPr="001A5C11">
        <w:rPr>
          <w:sz w:val="20"/>
          <w:szCs w:val="20"/>
        </w:rPr>
        <w:t xml:space="preserve">, such as viruses and bacteria, which may come from sewage treatment plants, septic systems, agricultural livestock operations and wildlife; (B) </w:t>
      </w:r>
      <w:r w:rsidRPr="001A5C11">
        <w:rPr>
          <w:b/>
          <w:sz w:val="20"/>
          <w:szCs w:val="20"/>
        </w:rPr>
        <w:t>Inorganic contaminants</w:t>
      </w:r>
      <w:r w:rsidRPr="001A5C11">
        <w:rPr>
          <w:sz w:val="20"/>
          <w:szCs w:val="20"/>
        </w:rPr>
        <w:t xml:space="preserve">, such as salts and metals, which can be naturally occurring or as a result of urban storm water runoff, industrial or domestic wastewater discharges, oil and gas production, mining and farming; (C) </w:t>
      </w:r>
      <w:r w:rsidRPr="001A5C11">
        <w:rPr>
          <w:b/>
          <w:sz w:val="20"/>
          <w:szCs w:val="20"/>
        </w:rPr>
        <w:t>Pesticides and herbicides</w:t>
      </w:r>
      <w:r w:rsidRPr="001A5C11">
        <w:rPr>
          <w:sz w:val="20"/>
          <w:szCs w:val="20"/>
        </w:rPr>
        <w:t xml:space="preserve">, which may come from a variety of sources such as agriculture, urban storm water runoff and residential use; (D) </w:t>
      </w:r>
      <w:r w:rsidRPr="001A5C11">
        <w:rPr>
          <w:b/>
          <w:sz w:val="20"/>
          <w:szCs w:val="20"/>
        </w:rPr>
        <w:t>Organic chemical contaminants</w:t>
      </w:r>
      <w:r w:rsidRPr="001A5C11">
        <w:rPr>
          <w:sz w:val="20"/>
          <w:szCs w:val="20"/>
        </w:rPr>
        <w:t xml:space="preserve">, including synthetic and volatile organic chemicals, which are byproducts of industrial processes and petroleum production, and can also come from gas stations, urban storm water runoff and septic systems; (E) </w:t>
      </w:r>
      <w:r w:rsidRPr="001A5C11">
        <w:rPr>
          <w:b/>
          <w:sz w:val="20"/>
          <w:szCs w:val="20"/>
        </w:rPr>
        <w:t>Radioactive contaminants</w:t>
      </w:r>
      <w:r w:rsidRPr="001A5C11">
        <w:rPr>
          <w:sz w:val="20"/>
          <w:szCs w:val="20"/>
        </w:rPr>
        <w:t>, which can be naturally occurring or the result of oil and gas production and mining activities.</w:t>
      </w:r>
    </w:p>
    <w:p w14:paraId="50B43690" w14:textId="77777777" w:rsidR="00C22CF5" w:rsidRPr="001A5C11" w:rsidRDefault="00C22CF5" w:rsidP="00242BA9">
      <w:pPr>
        <w:spacing w:after="0"/>
        <w:jc w:val="both"/>
        <w:rPr>
          <w:sz w:val="20"/>
          <w:szCs w:val="20"/>
        </w:rPr>
      </w:pPr>
    </w:p>
    <w:p w14:paraId="2C9E22C8" w14:textId="77777777" w:rsidR="00C22CF5" w:rsidRPr="001A5C11" w:rsidRDefault="00C22CF5" w:rsidP="00242BA9">
      <w:pPr>
        <w:spacing w:after="0"/>
        <w:jc w:val="both"/>
        <w:rPr>
          <w:sz w:val="20"/>
          <w:szCs w:val="20"/>
        </w:rPr>
      </w:pPr>
      <w:r w:rsidRPr="001A5C11">
        <w:rPr>
          <w:sz w:val="20"/>
          <w:szCs w:val="20"/>
        </w:rPr>
        <w:t xml:space="preserve">In order to ensure that tap water is safe to drink, the EPA promulgates regulations which limit the </w:t>
      </w:r>
      <w:proofErr w:type="gramStart"/>
      <w:r w:rsidRPr="001A5C11">
        <w:rPr>
          <w:sz w:val="20"/>
          <w:szCs w:val="20"/>
        </w:rPr>
        <w:t>amount</w:t>
      </w:r>
      <w:proofErr w:type="gramEnd"/>
      <w:r w:rsidRPr="001A5C11">
        <w:rPr>
          <w:sz w:val="20"/>
          <w:szCs w:val="20"/>
        </w:rPr>
        <w:t xml:space="preserve"> of certain contaminants in the water provided by public water systems. FDA regulations establish limits for contaminants in bottled water which must provide the same protection for public health.</w:t>
      </w:r>
    </w:p>
    <w:p w14:paraId="49A91EC8" w14:textId="77777777" w:rsidR="00C22CF5" w:rsidRPr="001A5C11" w:rsidRDefault="00C22CF5" w:rsidP="00242BA9">
      <w:pPr>
        <w:spacing w:after="0"/>
        <w:jc w:val="both"/>
        <w:rPr>
          <w:sz w:val="20"/>
          <w:szCs w:val="20"/>
        </w:rPr>
      </w:pPr>
    </w:p>
    <w:p w14:paraId="780ECD79" w14:textId="77777777" w:rsidR="00C22CF5" w:rsidRPr="001A5C11" w:rsidRDefault="00C22CF5" w:rsidP="00242BA9">
      <w:pPr>
        <w:spacing w:after="0"/>
        <w:jc w:val="both"/>
        <w:rPr>
          <w:b/>
          <w:sz w:val="20"/>
          <w:szCs w:val="20"/>
        </w:rPr>
      </w:pPr>
      <w:r w:rsidRPr="001A5C11">
        <w:rPr>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w:t>
      </w:r>
      <w:r w:rsidRPr="001A5C11">
        <w:rPr>
          <w:b/>
          <w:sz w:val="20"/>
          <w:szCs w:val="20"/>
        </w:rPr>
        <w:t>Environmental Protection Agency’s Safe Drinking Water Hotline at 1-800-426-4791.</w:t>
      </w:r>
    </w:p>
    <w:p w14:paraId="6AED8D98" w14:textId="77777777" w:rsidR="00C22CF5" w:rsidRDefault="00C22CF5" w:rsidP="00242BA9">
      <w:pPr>
        <w:spacing w:after="0"/>
        <w:jc w:val="both"/>
        <w:rPr>
          <w:b/>
          <w:sz w:val="16"/>
          <w:szCs w:val="16"/>
        </w:rPr>
      </w:pPr>
    </w:p>
    <w:p w14:paraId="365DFD20" w14:textId="77777777" w:rsidR="001A5C11" w:rsidRPr="00777BE4" w:rsidRDefault="001A5C11" w:rsidP="00242BA9">
      <w:pPr>
        <w:spacing w:after="0"/>
        <w:jc w:val="both"/>
        <w:rPr>
          <w:b/>
          <w:sz w:val="16"/>
          <w:szCs w:val="16"/>
        </w:rPr>
      </w:pPr>
    </w:p>
    <w:p w14:paraId="4EC486AC" w14:textId="77777777" w:rsidR="00C22CF5" w:rsidRPr="00D91205" w:rsidRDefault="00C22CF5" w:rsidP="00242BA9">
      <w:pPr>
        <w:spacing w:after="0"/>
        <w:jc w:val="both"/>
        <w:rPr>
          <w:b/>
          <w:sz w:val="24"/>
          <w:szCs w:val="24"/>
        </w:rPr>
      </w:pPr>
      <w:r w:rsidRPr="00D91205">
        <w:rPr>
          <w:b/>
          <w:sz w:val="24"/>
          <w:szCs w:val="24"/>
        </w:rPr>
        <w:t>Who needs to take special precautions?</w:t>
      </w:r>
    </w:p>
    <w:p w14:paraId="646F4A5A" w14:textId="77777777" w:rsidR="00C22CF5" w:rsidRPr="001A5C11" w:rsidRDefault="00C22CF5" w:rsidP="00242BA9">
      <w:pPr>
        <w:spacing w:after="0"/>
        <w:jc w:val="both"/>
        <w:rPr>
          <w:sz w:val="20"/>
          <w:szCs w:val="20"/>
        </w:rPr>
      </w:pPr>
      <w:r w:rsidRPr="001A5C11">
        <w:rPr>
          <w:sz w:val="20"/>
          <w:szCs w:val="20"/>
        </w:rPr>
        <w:t xml:space="preserve">Some people may be more vulnerable to contaminants in drinking water than the general population. Immuno-compromised individuals such as people undergoing chemotherapy for cancer, people who have undergone organ transplants, people with HIV/AIDS, lupus, or other immune system disorders, some elderly and infants can be particularly at risk from infection. These people should seek advice about drinking water from their healthcare providers. EPA/CDC guidelines on appropriate means to lessen the risk of infection by Cryptosporidium and other microbial contaminants are available from the </w:t>
      </w:r>
      <w:r w:rsidRPr="001A5C11">
        <w:rPr>
          <w:b/>
          <w:sz w:val="20"/>
          <w:szCs w:val="20"/>
        </w:rPr>
        <w:t>Safe Drinking Water Hotline at 1-800-426-4791.</w:t>
      </w:r>
    </w:p>
    <w:p w14:paraId="186566D7" w14:textId="77777777" w:rsidR="001A5C11" w:rsidRPr="00777BE4" w:rsidRDefault="001A5C11" w:rsidP="00242BA9">
      <w:pPr>
        <w:spacing w:after="0"/>
        <w:jc w:val="both"/>
        <w:rPr>
          <w:b/>
          <w:sz w:val="16"/>
          <w:szCs w:val="16"/>
        </w:rPr>
      </w:pPr>
    </w:p>
    <w:p w14:paraId="0527007B" w14:textId="77777777" w:rsidR="00C22CF5" w:rsidRPr="00D91205" w:rsidRDefault="00C22CF5" w:rsidP="00242BA9">
      <w:pPr>
        <w:spacing w:after="0"/>
        <w:jc w:val="both"/>
        <w:rPr>
          <w:b/>
          <w:sz w:val="24"/>
          <w:szCs w:val="24"/>
        </w:rPr>
      </w:pPr>
      <w:r w:rsidRPr="00D91205">
        <w:rPr>
          <w:b/>
          <w:sz w:val="24"/>
          <w:szCs w:val="24"/>
        </w:rPr>
        <w:t>Lead Educational Information</w:t>
      </w:r>
    </w:p>
    <w:p w14:paraId="444A0EE7" w14:textId="77777777" w:rsidR="00C22CF5" w:rsidRDefault="00C22CF5" w:rsidP="00242BA9">
      <w:pPr>
        <w:spacing w:after="0"/>
        <w:jc w:val="both"/>
        <w:rPr>
          <w:b/>
          <w:sz w:val="20"/>
          <w:szCs w:val="20"/>
        </w:rPr>
      </w:pPr>
      <w:r w:rsidRPr="00D91205">
        <w:rPr>
          <w:sz w:val="20"/>
          <w:szCs w:val="20"/>
        </w:rPr>
        <w:t xml:space="preserve">If present, elevated levels of lead can cause health problems, especially for pregnant women and young children. Lead in drinking water is primarily from materials and components associated with service lines and home plumbing. Village of Roseville is responsible for providing high quality drinking </w:t>
      </w:r>
      <w:proofErr w:type="gramStart"/>
      <w:r w:rsidRPr="00D91205">
        <w:rPr>
          <w:sz w:val="20"/>
          <w:szCs w:val="20"/>
        </w:rPr>
        <w:t>water, but</w:t>
      </w:r>
      <w:proofErr w:type="gramEnd"/>
      <w:r w:rsidRPr="00D91205">
        <w:rPr>
          <w:sz w:val="20"/>
          <w:szCs w:val="20"/>
        </w:rPr>
        <w:t xml:space="preserve"> cannot control the variety of materials used in plumbing components. When your water has been setting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w:t>
      </w:r>
      <w:r w:rsidRPr="00D91205">
        <w:rPr>
          <w:b/>
          <w:sz w:val="20"/>
          <w:szCs w:val="20"/>
        </w:rPr>
        <w:t xml:space="preserve">State Drinking Water Hotline at 800-426-4791 or at </w:t>
      </w:r>
      <w:hyperlink r:id="rId6" w:history="1">
        <w:r w:rsidRPr="00D91205">
          <w:rPr>
            <w:rStyle w:val="Hyperlink"/>
            <w:b/>
            <w:sz w:val="20"/>
            <w:szCs w:val="20"/>
          </w:rPr>
          <w:t>http://www.epa.gov/safewater/lead</w:t>
        </w:r>
      </w:hyperlink>
      <w:r w:rsidRPr="00D91205">
        <w:rPr>
          <w:b/>
          <w:sz w:val="20"/>
          <w:szCs w:val="20"/>
        </w:rPr>
        <w:t xml:space="preserve">. </w:t>
      </w:r>
    </w:p>
    <w:p w14:paraId="682A91CD" w14:textId="77777777" w:rsidR="00E967FB" w:rsidRPr="00A837F7" w:rsidRDefault="00A837F7" w:rsidP="00242BA9">
      <w:pPr>
        <w:spacing w:after="0"/>
        <w:jc w:val="both"/>
        <w:rPr>
          <w:sz w:val="20"/>
          <w:szCs w:val="20"/>
        </w:rPr>
      </w:pPr>
      <w:r>
        <w:rPr>
          <w:sz w:val="20"/>
          <w:szCs w:val="20"/>
        </w:rPr>
        <w:t xml:space="preserve">Infants and young children are typically more vulnerable to lead in drinking water than the general population. It is possible that lead levels at your home may be higher than at other homes in the community </w:t>
      </w:r>
      <w:proofErr w:type="gramStart"/>
      <w:r>
        <w:rPr>
          <w:sz w:val="20"/>
          <w:szCs w:val="20"/>
        </w:rPr>
        <w:t>as a result of</w:t>
      </w:r>
      <w:proofErr w:type="gramEnd"/>
      <w:r>
        <w:rPr>
          <w:sz w:val="20"/>
          <w:szCs w:val="20"/>
        </w:rPr>
        <w:t xml:space="preserve">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(1-800-426-4791).</w:t>
      </w:r>
    </w:p>
    <w:p w14:paraId="4428562A" w14:textId="77777777" w:rsidR="00C22CF5" w:rsidRDefault="00C22CF5" w:rsidP="00242BA9">
      <w:pPr>
        <w:spacing w:after="0"/>
        <w:jc w:val="both"/>
        <w:rPr>
          <w:b/>
          <w:sz w:val="20"/>
          <w:szCs w:val="20"/>
        </w:rPr>
      </w:pPr>
    </w:p>
    <w:p w14:paraId="22C34ECC" w14:textId="77777777" w:rsidR="00216CBC" w:rsidRDefault="00216CBC" w:rsidP="00242BA9">
      <w:pPr>
        <w:spacing w:after="0"/>
        <w:jc w:val="both"/>
        <w:rPr>
          <w:b/>
          <w:sz w:val="24"/>
          <w:szCs w:val="24"/>
        </w:rPr>
      </w:pPr>
    </w:p>
    <w:p w14:paraId="79B13A1B" w14:textId="1E0A6D95" w:rsidR="00BE3E8A" w:rsidRPr="00D91205" w:rsidRDefault="00C22CF5" w:rsidP="00242BA9">
      <w:pPr>
        <w:spacing w:after="0"/>
        <w:jc w:val="both"/>
        <w:rPr>
          <w:b/>
          <w:sz w:val="24"/>
          <w:szCs w:val="24"/>
        </w:rPr>
      </w:pPr>
      <w:r w:rsidRPr="00D91205">
        <w:rPr>
          <w:b/>
          <w:sz w:val="24"/>
          <w:szCs w:val="24"/>
        </w:rPr>
        <w:t>License to Operate</w:t>
      </w:r>
    </w:p>
    <w:p w14:paraId="79488601" w14:textId="7E8CC160" w:rsidR="00C22CF5" w:rsidRPr="00777BE4" w:rsidRDefault="00C22CF5" w:rsidP="00242BA9">
      <w:pPr>
        <w:spacing w:after="0"/>
        <w:jc w:val="both"/>
        <w:rPr>
          <w:sz w:val="18"/>
          <w:szCs w:val="18"/>
        </w:rPr>
      </w:pPr>
      <w:r w:rsidRPr="00D91205">
        <w:rPr>
          <w:sz w:val="20"/>
          <w:szCs w:val="20"/>
        </w:rPr>
        <w:t>We have a current, unconditioned license to operate our water system</w:t>
      </w:r>
      <w:r w:rsidR="005010DF">
        <w:rPr>
          <w:sz w:val="20"/>
          <w:szCs w:val="20"/>
        </w:rPr>
        <w:t>.</w:t>
      </w:r>
    </w:p>
    <w:p w14:paraId="6E49C68D" w14:textId="77777777" w:rsidR="00C22CF5" w:rsidRDefault="00C22CF5" w:rsidP="00242BA9">
      <w:pPr>
        <w:spacing w:after="0"/>
        <w:jc w:val="both"/>
        <w:rPr>
          <w:b/>
          <w:sz w:val="16"/>
          <w:szCs w:val="16"/>
        </w:rPr>
      </w:pPr>
    </w:p>
    <w:p w14:paraId="1F530889" w14:textId="77777777" w:rsidR="001A5C11" w:rsidRPr="00777BE4" w:rsidRDefault="001A5C11" w:rsidP="00242BA9">
      <w:pPr>
        <w:spacing w:after="0"/>
        <w:jc w:val="both"/>
        <w:rPr>
          <w:b/>
          <w:sz w:val="16"/>
          <w:szCs w:val="16"/>
        </w:rPr>
      </w:pPr>
    </w:p>
    <w:p w14:paraId="4F7B263E" w14:textId="77777777" w:rsidR="00C22CF5" w:rsidRPr="00D91205" w:rsidRDefault="00C22CF5" w:rsidP="00242BA9">
      <w:pPr>
        <w:spacing w:after="0"/>
        <w:jc w:val="both"/>
        <w:rPr>
          <w:b/>
          <w:sz w:val="24"/>
          <w:szCs w:val="24"/>
        </w:rPr>
      </w:pPr>
      <w:r w:rsidRPr="00D91205">
        <w:rPr>
          <w:b/>
          <w:sz w:val="24"/>
          <w:szCs w:val="24"/>
        </w:rPr>
        <w:t>About your drinking water</w:t>
      </w:r>
    </w:p>
    <w:p w14:paraId="4276F463" w14:textId="57FD1DB1" w:rsidR="00C22CF5" w:rsidRPr="00D91205" w:rsidRDefault="00C22CF5" w:rsidP="00242BA9">
      <w:pPr>
        <w:spacing w:after="0"/>
        <w:jc w:val="both"/>
        <w:rPr>
          <w:sz w:val="20"/>
          <w:szCs w:val="20"/>
        </w:rPr>
      </w:pPr>
      <w:r w:rsidRPr="00D91205">
        <w:rPr>
          <w:sz w:val="20"/>
          <w:szCs w:val="20"/>
        </w:rPr>
        <w:t xml:space="preserve">The EPA requires regular sampling and testing to ensure drinking water safety. The Roseville Water Department conducted sampling and testing for bacteria, radiological, inorganic, synthetic organics, nitrate, volatile organic compounds, </w:t>
      </w:r>
      <w:proofErr w:type="gramStart"/>
      <w:r w:rsidRPr="00D91205">
        <w:rPr>
          <w:sz w:val="20"/>
          <w:szCs w:val="20"/>
        </w:rPr>
        <w:t>lead</w:t>
      </w:r>
      <w:proofErr w:type="gramEnd"/>
      <w:r w:rsidRPr="00D91205">
        <w:rPr>
          <w:sz w:val="20"/>
          <w:szCs w:val="20"/>
        </w:rPr>
        <w:t xml:space="preserve"> and copper contaminants</w:t>
      </w:r>
      <w:r w:rsidR="00524F2A">
        <w:rPr>
          <w:sz w:val="20"/>
          <w:szCs w:val="20"/>
        </w:rPr>
        <w:t xml:space="preserve"> for the years 2000 through 20</w:t>
      </w:r>
      <w:r w:rsidR="00A775D7">
        <w:rPr>
          <w:sz w:val="20"/>
          <w:szCs w:val="20"/>
        </w:rPr>
        <w:t>2</w:t>
      </w:r>
      <w:r w:rsidR="00292B90">
        <w:rPr>
          <w:sz w:val="20"/>
          <w:szCs w:val="20"/>
        </w:rPr>
        <w:t>1</w:t>
      </w:r>
      <w:r w:rsidRPr="00D91205">
        <w:rPr>
          <w:sz w:val="20"/>
          <w:szCs w:val="20"/>
        </w:rPr>
        <w:t>. Samples were collected according to proper sampling protocol for a total of 96 different contaminants, most of which were not detected in the Village of Roseville water supply. The Ohio EPA requires monitoring for some contaminants less than once per year because concentrations of these contaminants do not change frequently. Some of our data, though accurate, are more than one year old.</w:t>
      </w:r>
    </w:p>
    <w:p w14:paraId="3A75AF94" w14:textId="6542FF5F" w:rsidR="00D91205" w:rsidRDefault="00D91205" w:rsidP="00230889">
      <w:pPr>
        <w:spacing w:after="0"/>
        <w:rPr>
          <w:b/>
        </w:rPr>
      </w:pPr>
    </w:p>
    <w:p w14:paraId="18CEA126" w14:textId="5614C67F" w:rsidR="00E11048" w:rsidRDefault="00C22CF5" w:rsidP="002D5135">
      <w:pPr>
        <w:spacing w:after="0"/>
      </w:pPr>
      <w:r w:rsidRPr="00D91205">
        <w:rPr>
          <w:b/>
          <w:sz w:val="24"/>
          <w:szCs w:val="24"/>
        </w:rPr>
        <w:t xml:space="preserve">Monitoring and Reporting Violations for </w:t>
      </w:r>
      <w:proofErr w:type="gramStart"/>
      <w:r w:rsidR="002D0D9B">
        <w:rPr>
          <w:b/>
          <w:sz w:val="24"/>
          <w:szCs w:val="24"/>
        </w:rPr>
        <w:t>20</w:t>
      </w:r>
      <w:r w:rsidR="00A775D7">
        <w:rPr>
          <w:b/>
          <w:sz w:val="24"/>
          <w:szCs w:val="24"/>
        </w:rPr>
        <w:t>2</w:t>
      </w:r>
      <w:r w:rsidR="00273D03">
        <w:rPr>
          <w:b/>
          <w:sz w:val="24"/>
          <w:szCs w:val="24"/>
        </w:rPr>
        <w:t>1</w:t>
      </w:r>
      <w:r w:rsidR="002D5135">
        <w:rPr>
          <w:b/>
          <w:sz w:val="24"/>
          <w:szCs w:val="24"/>
        </w:rPr>
        <w:t xml:space="preserve"> :</w:t>
      </w:r>
      <w:proofErr w:type="gramEnd"/>
      <w:r w:rsidR="00812B5D">
        <w:rPr>
          <w:b/>
          <w:sz w:val="24"/>
          <w:szCs w:val="24"/>
        </w:rPr>
        <w:t xml:space="preserve"> </w:t>
      </w:r>
      <w:r w:rsidRPr="00D91205">
        <w:t>The Village of Roseville</w:t>
      </w:r>
      <w:r w:rsidR="00E01FAD" w:rsidRPr="00D91205">
        <w:t xml:space="preserve"> </w:t>
      </w:r>
      <w:proofErr w:type="spellStart"/>
      <w:r w:rsidR="00E11048">
        <w:t>PWS</w:t>
      </w:r>
      <w:proofErr w:type="spellEnd"/>
      <w:r w:rsidR="00E11048">
        <w:t xml:space="preserve"> </w:t>
      </w:r>
      <w:r w:rsidR="00E01FAD" w:rsidRPr="00D91205">
        <w:t>had</w:t>
      </w:r>
      <w:r w:rsidR="00E11048">
        <w:t xml:space="preserve"> </w:t>
      </w:r>
      <w:r w:rsidR="00AD3A60">
        <w:t>NO 202</w:t>
      </w:r>
      <w:r w:rsidR="0084103E">
        <w:t>1</w:t>
      </w:r>
      <w:r w:rsidR="00E11048">
        <w:t xml:space="preserve"> violations. </w:t>
      </w:r>
    </w:p>
    <w:p w14:paraId="48784C2A" w14:textId="77777777" w:rsidR="002D5135" w:rsidRDefault="002D5135" w:rsidP="002D5135">
      <w:pPr>
        <w:spacing w:after="0"/>
      </w:pPr>
    </w:p>
    <w:p w14:paraId="00A3FEF6" w14:textId="0FFF002B" w:rsidR="00C22CF5" w:rsidRPr="00D91205" w:rsidRDefault="00E01FAD" w:rsidP="00242BA9">
      <w:pPr>
        <w:spacing w:after="0"/>
        <w:jc w:val="both"/>
      </w:pPr>
      <w:r w:rsidRPr="00D91205">
        <w:t xml:space="preserve"> </w:t>
      </w:r>
      <w:r w:rsidR="00C22CF5" w:rsidRPr="00D91205">
        <w:t xml:space="preserve"> Listed below is information on those contaminants that were found in the Village of Roseville drinking water supply.</w:t>
      </w:r>
    </w:p>
    <w:p w14:paraId="2E78E575" w14:textId="77777777" w:rsidR="00C22CF5" w:rsidRDefault="00C22CF5" w:rsidP="00242BA9">
      <w:pPr>
        <w:spacing w:after="0"/>
        <w:jc w:val="both"/>
        <w:rPr>
          <w:sz w:val="20"/>
          <w:szCs w:val="20"/>
        </w:rPr>
      </w:pPr>
    </w:p>
    <w:tbl>
      <w:tblPr>
        <w:tblW w:w="112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2"/>
        <w:gridCol w:w="1087"/>
        <w:gridCol w:w="1080"/>
        <w:gridCol w:w="1171"/>
        <w:gridCol w:w="809"/>
        <w:gridCol w:w="720"/>
        <w:gridCol w:w="720"/>
        <w:gridCol w:w="990"/>
        <w:gridCol w:w="2898"/>
      </w:tblGrid>
      <w:tr w:rsidR="00C22CF5" w:rsidRPr="00A25B0F" w14:paraId="75BADE21" w14:textId="77777777" w:rsidTr="00902D99">
        <w:tc>
          <w:tcPr>
            <w:tcW w:w="1782" w:type="dxa"/>
            <w:shd w:val="clear" w:color="auto" w:fill="D9D9D9" w:themeFill="background1" w:themeFillShade="D9"/>
            <w:vAlign w:val="center"/>
          </w:tcPr>
          <w:p w14:paraId="6F0774EC" w14:textId="327AE139" w:rsidR="00C22CF5" w:rsidRPr="006841C8" w:rsidRDefault="006841C8" w:rsidP="00A25B0F">
            <w:pPr>
              <w:spacing w:after="0"/>
              <w:rPr>
                <w:b/>
                <w:bCs/>
                <w:sz w:val="19"/>
                <w:szCs w:val="19"/>
              </w:rPr>
            </w:pPr>
            <w:r w:rsidRPr="006841C8">
              <w:rPr>
                <w:b/>
                <w:bCs/>
                <w:sz w:val="19"/>
                <w:szCs w:val="19"/>
              </w:rPr>
              <w:t xml:space="preserve">Contaminants </w:t>
            </w:r>
          </w:p>
        </w:tc>
        <w:tc>
          <w:tcPr>
            <w:tcW w:w="1087" w:type="dxa"/>
            <w:shd w:val="clear" w:color="auto" w:fill="D9D9D9" w:themeFill="background1" w:themeFillShade="D9"/>
            <w:vAlign w:val="center"/>
          </w:tcPr>
          <w:p w14:paraId="0C1D68A7" w14:textId="77777777" w:rsidR="00C22CF5" w:rsidRPr="006841C8" w:rsidRDefault="00C22CF5" w:rsidP="00A25B0F">
            <w:pPr>
              <w:spacing w:after="0"/>
              <w:jc w:val="center"/>
              <w:rPr>
                <w:b/>
                <w:bCs/>
                <w:sz w:val="19"/>
                <w:szCs w:val="19"/>
              </w:rPr>
            </w:pPr>
            <w:r w:rsidRPr="006841C8">
              <w:rPr>
                <w:b/>
                <w:bCs/>
                <w:sz w:val="19"/>
                <w:szCs w:val="19"/>
              </w:rPr>
              <w:t>Collection Date</w:t>
            </w:r>
          </w:p>
        </w:tc>
        <w:tc>
          <w:tcPr>
            <w:tcW w:w="1080" w:type="dxa"/>
            <w:shd w:val="clear" w:color="auto" w:fill="D9D9D9" w:themeFill="background1" w:themeFillShade="D9"/>
            <w:vAlign w:val="center"/>
          </w:tcPr>
          <w:p w14:paraId="5F44818B" w14:textId="77777777" w:rsidR="00C22CF5" w:rsidRPr="006841C8" w:rsidRDefault="00C22CF5" w:rsidP="00A25B0F">
            <w:pPr>
              <w:spacing w:after="0"/>
              <w:jc w:val="center"/>
              <w:rPr>
                <w:b/>
                <w:bCs/>
                <w:sz w:val="19"/>
                <w:szCs w:val="19"/>
              </w:rPr>
            </w:pPr>
            <w:r w:rsidRPr="006841C8">
              <w:rPr>
                <w:b/>
                <w:bCs/>
                <w:sz w:val="19"/>
                <w:szCs w:val="19"/>
              </w:rPr>
              <w:t>Highest Level Detected</w:t>
            </w:r>
          </w:p>
        </w:tc>
        <w:tc>
          <w:tcPr>
            <w:tcW w:w="1171" w:type="dxa"/>
            <w:shd w:val="clear" w:color="auto" w:fill="D9D9D9" w:themeFill="background1" w:themeFillShade="D9"/>
            <w:vAlign w:val="center"/>
          </w:tcPr>
          <w:p w14:paraId="622A9825" w14:textId="77777777" w:rsidR="00C22CF5" w:rsidRPr="006841C8" w:rsidRDefault="00C22CF5" w:rsidP="00A25B0F">
            <w:pPr>
              <w:spacing w:after="0"/>
              <w:jc w:val="center"/>
              <w:rPr>
                <w:b/>
                <w:bCs/>
                <w:sz w:val="19"/>
                <w:szCs w:val="19"/>
              </w:rPr>
            </w:pPr>
            <w:r w:rsidRPr="006841C8">
              <w:rPr>
                <w:b/>
                <w:bCs/>
                <w:sz w:val="19"/>
                <w:szCs w:val="19"/>
              </w:rPr>
              <w:t>Range of Levels Detected</w:t>
            </w:r>
          </w:p>
        </w:tc>
        <w:tc>
          <w:tcPr>
            <w:tcW w:w="809" w:type="dxa"/>
            <w:shd w:val="clear" w:color="auto" w:fill="D9D9D9" w:themeFill="background1" w:themeFillShade="D9"/>
            <w:vAlign w:val="center"/>
          </w:tcPr>
          <w:p w14:paraId="171BBDCD" w14:textId="77777777" w:rsidR="00C22CF5" w:rsidRPr="006841C8" w:rsidRDefault="00C22CF5" w:rsidP="00A25B0F">
            <w:pPr>
              <w:spacing w:after="0"/>
              <w:jc w:val="center"/>
              <w:rPr>
                <w:b/>
                <w:bCs/>
                <w:sz w:val="19"/>
                <w:szCs w:val="19"/>
              </w:rPr>
            </w:pPr>
            <w:proofErr w:type="spellStart"/>
            <w:r w:rsidRPr="006841C8">
              <w:rPr>
                <w:b/>
                <w:bCs/>
                <w:sz w:val="19"/>
                <w:szCs w:val="19"/>
              </w:rPr>
              <w:t>MCLG</w:t>
            </w:r>
            <w:proofErr w:type="spellEnd"/>
          </w:p>
        </w:tc>
        <w:tc>
          <w:tcPr>
            <w:tcW w:w="720" w:type="dxa"/>
            <w:shd w:val="clear" w:color="auto" w:fill="D9D9D9" w:themeFill="background1" w:themeFillShade="D9"/>
            <w:vAlign w:val="center"/>
          </w:tcPr>
          <w:p w14:paraId="1E4D2CB4" w14:textId="77777777" w:rsidR="00C22CF5" w:rsidRPr="006841C8" w:rsidRDefault="00C22CF5" w:rsidP="00A25B0F">
            <w:pPr>
              <w:spacing w:after="0"/>
              <w:jc w:val="center"/>
              <w:rPr>
                <w:b/>
                <w:bCs/>
                <w:sz w:val="19"/>
                <w:szCs w:val="19"/>
              </w:rPr>
            </w:pPr>
            <w:r w:rsidRPr="006841C8">
              <w:rPr>
                <w:b/>
                <w:bCs/>
                <w:sz w:val="19"/>
                <w:szCs w:val="19"/>
              </w:rPr>
              <w:t>MCL</w:t>
            </w:r>
          </w:p>
        </w:tc>
        <w:tc>
          <w:tcPr>
            <w:tcW w:w="720" w:type="dxa"/>
            <w:shd w:val="clear" w:color="auto" w:fill="D9D9D9" w:themeFill="background1" w:themeFillShade="D9"/>
            <w:vAlign w:val="center"/>
          </w:tcPr>
          <w:p w14:paraId="11B8B6F5" w14:textId="77777777" w:rsidR="00C22CF5" w:rsidRPr="006841C8" w:rsidRDefault="00C22CF5" w:rsidP="00A25B0F">
            <w:pPr>
              <w:spacing w:after="0"/>
              <w:jc w:val="center"/>
              <w:rPr>
                <w:b/>
                <w:bCs/>
                <w:sz w:val="19"/>
                <w:szCs w:val="19"/>
              </w:rPr>
            </w:pPr>
            <w:r w:rsidRPr="006841C8">
              <w:rPr>
                <w:b/>
                <w:bCs/>
                <w:sz w:val="19"/>
                <w:szCs w:val="19"/>
              </w:rPr>
              <w:t>Units</w:t>
            </w:r>
          </w:p>
        </w:tc>
        <w:tc>
          <w:tcPr>
            <w:tcW w:w="990" w:type="dxa"/>
            <w:shd w:val="clear" w:color="auto" w:fill="D9D9D9" w:themeFill="background1" w:themeFillShade="D9"/>
            <w:vAlign w:val="center"/>
          </w:tcPr>
          <w:p w14:paraId="764F8601" w14:textId="77777777" w:rsidR="00C22CF5" w:rsidRPr="006841C8" w:rsidRDefault="00C22CF5" w:rsidP="00A25B0F">
            <w:pPr>
              <w:spacing w:after="0"/>
              <w:jc w:val="center"/>
              <w:rPr>
                <w:b/>
                <w:bCs/>
                <w:sz w:val="19"/>
                <w:szCs w:val="19"/>
              </w:rPr>
            </w:pPr>
            <w:r w:rsidRPr="006841C8">
              <w:rPr>
                <w:b/>
                <w:bCs/>
                <w:sz w:val="19"/>
                <w:szCs w:val="19"/>
              </w:rPr>
              <w:t>Violation</w:t>
            </w:r>
          </w:p>
        </w:tc>
        <w:tc>
          <w:tcPr>
            <w:tcW w:w="2898" w:type="dxa"/>
            <w:shd w:val="clear" w:color="auto" w:fill="D9D9D9" w:themeFill="background1" w:themeFillShade="D9"/>
            <w:vAlign w:val="center"/>
          </w:tcPr>
          <w:p w14:paraId="63D4CC9F" w14:textId="77777777" w:rsidR="00C22CF5" w:rsidRPr="006841C8" w:rsidRDefault="00C22CF5" w:rsidP="00A25B0F">
            <w:pPr>
              <w:spacing w:after="0"/>
              <w:rPr>
                <w:b/>
                <w:bCs/>
                <w:sz w:val="19"/>
                <w:szCs w:val="19"/>
              </w:rPr>
            </w:pPr>
            <w:r w:rsidRPr="006841C8">
              <w:rPr>
                <w:b/>
                <w:bCs/>
                <w:sz w:val="19"/>
                <w:szCs w:val="19"/>
              </w:rPr>
              <w:t>Likely Source of Contamination</w:t>
            </w:r>
          </w:p>
        </w:tc>
      </w:tr>
      <w:tr w:rsidR="006841C8" w:rsidRPr="00A25B0F" w14:paraId="278656E6" w14:textId="77777777" w:rsidTr="00902D99">
        <w:tc>
          <w:tcPr>
            <w:tcW w:w="11257" w:type="dxa"/>
            <w:gridSpan w:val="9"/>
            <w:shd w:val="clear" w:color="auto" w:fill="D9D9D9" w:themeFill="background1" w:themeFillShade="D9"/>
            <w:vAlign w:val="center"/>
          </w:tcPr>
          <w:p w14:paraId="6CEEFDAA" w14:textId="52117626" w:rsidR="006841C8" w:rsidRPr="006841C8" w:rsidRDefault="006841C8" w:rsidP="00A25B0F">
            <w:pPr>
              <w:spacing w:after="0"/>
              <w:rPr>
                <w:b/>
                <w:bCs/>
                <w:sz w:val="19"/>
                <w:szCs w:val="19"/>
              </w:rPr>
            </w:pPr>
            <w:r w:rsidRPr="006841C8">
              <w:rPr>
                <w:b/>
                <w:bCs/>
                <w:sz w:val="19"/>
                <w:szCs w:val="19"/>
              </w:rPr>
              <w:t>Residual Disinfectants</w:t>
            </w:r>
          </w:p>
        </w:tc>
      </w:tr>
      <w:tr w:rsidR="00C22CF5" w:rsidRPr="00A25B0F" w14:paraId="010986F7" w14:textId="77777777" w:rsidTr="00902D99">
        <w:tc>
          <w:tcPr>
            <w:tcW w:w="1782" w:type="dxa"/>
            <w:vAlign w:val="center"/>
          </w:tcPr>
          <w:p w14:paraId="1CE8872F" w14:textId="77777777" w:rsidR="00C22CF5" w:rsidRPr="00A25B0F" w:rsidRDefault="001A5C11" w:rsidP="00A25B0F">
            <w:pPr>
              <w:spacing w:after="0"/>
              <w:rPr>
                <w:sz w:val="19"/>
                <w:szCs w:val="19"/>
              </w:rPr>
            </w:pPr>
            <w:r>
              <w:rPr>
                <w:sz w:val="19"/>
                <w:szCs w:val="19"/>
              </w:rPr>
              <w:t>Chlorine</w:t>
            </w:r>
          </w:p>
        </w:tc>
        <w:tc>
          <w:tcPr>
            <w:tcW w:w="1087" w:type="dxa"/>
            <w:vAlign w:val="center"/>
          </w:tcPr>
          <w:p w14:paraId="1F96DED5" w14:textId="62BE7565" w:rsidR="00C22CF5" w:rsidRPr="00A25B0F" w:rsidRDefault="005F44C8" w:rsidP="00A25B0F">
            <w:pPr>
              <w:spacing w:after="0"/>
              <w:jc w:val="center"/>
              <w:rPr>
                <w:sz w:val="19"/>
                <w:szCs w:val="19"/>
              </w:rPr>
            </w:pPr>
            <w:r>
              <w:rPr>
                <w:sz w:val="19"/>
                <w:szCs w:val="19"/>
              </w:rPr>
              <w:t>20</w:t>
            </w:r>
            <w:r w:rsidR="00BA56BC">
              <w:rPr>
                <w:sz w:val="19"/>
                <w:szCs w:val="19"/>
              </w:rPr>
              <w:t>2</w:t>
            </w:r>
            <w:r w:rsidR="000C7030">
              <w:rPr>
                <w:sz w:val="19"/>
                <w:szCs w:val="19"/>
              </w:rPr>
              <w:t>1</w:t>
            </w:r>
          </w:p>
        </w:tc>
        <w:tc>
          <w:tcPr>
            <w:tcW w:w="1080" w:type="dxa"/>
            <w:vAlign w:val="center"/>
          </w:tcPr>
          <w:p w14:paraId="79EF532A" w14:textId="5D3D0552" w:rsidR="00C22CF5" w:rsidRPr="00A25B0F" w:rsidRDefault="0011642E" w:rsidP="00A25B0F">
            <w:pPr>
              <w:spacing w:after="0"/>
              <w:jc w:val="center"/>
              <w:rPr>
                <w:sz w:val="19"/>
                <w:szCs w:val="19"/>
              </w:rPr>
            </w:pPr>
            <w:r>
              <w:rPr>
                <w:sz w:val="19"/>
                <w:szCs w:val="19"/>
              </w:rPr>
              <w:t>1.70</w:t>
            </w:r>
          </w:p>
        </w:tc>
        <w:tc>
          <w:tcPr>
            <w:tcW w:w="1171" w:type="dxa"/>
            <w:vAlign w:val="center"/>
          </w:tcPr>
          <w:p w14:paraId="6D565E87" w14:textId="5A4E56C2" w:rsidR="00C22CF5" w:rsidRPr="00A25B0F" w:rsidRDefault="00BE2367" w:rsidP="00245A8D">
            <w:pPr>
              <w:spacing w:after="0"/>
              <w:jc w:val="center"/>
              <w:rPr>
                <w:sz w:val="19"/>
                <w:szCs w:val="19"/>
              </w:rPr>
            </w:pPr>
            <w:r>
              <w:rPr>
                <w:sz w:val="19"/>
                <w:szCs w:val="19"/>
              </w:rPr>
              <w:t>0</w:t>
            </w:r>
            <w:r w:rsidR="00E62810">
              <w:rPr>
                <w:sz w:val="19"/>
                <w:szCs w:val="19"/>
              </w:rPr>
              <w:t>.2</w:t>
            </w:r>
            <w:r w:rsidR="0011642E">
              <w:rPr>
                <w:sz w:val="19"/>
                <w:szCs w:val="19"/>
              </w:rPr>
              <w:t xml:space="preserve">9 </w:t>
            </w:r>
            <w:r w:rsidR="00E62810">
              <w:rPr>
                <w:sz w:val="19"/>
                <w:szCs w:val="19"/>
              </w:rPr>
              <w:t>-</w:t>
            </w:r>
            <w:r w:rsidR="0011642E">
              <w:rPr>
                <w:sz w:val="19"/>
                <w:szCs w:val="19"/>
              </w:rPr>
              <w:t xml:space="preserve"> 1.70</w:t>
            </w:r>
          </w:p>
        </w:tc>
        <w:tc>
          <w:tcPr>
            <w:tcW w:w="809" w:type="dxa"/>
            <w:vAlign w:val="center"/>
          </w:tcPr>
          <w:p w14:paraId="25754D04" w14:textId="77777777" w:rsidR="00C22CF5" w:rsidRPr="00A25B0F" w:rsidRDefault="001A5C11" w:rsidP="00A25B0F">
            <w:pPr>
              <w:spacing w:after="0"/>
              <w:jc w:val="center"/>
              <w:rPr>
                <w:sz w:val="19"/>
                <w:szCs w:val="19"/>
              </w:rPr>
            </w:pPr>
            <w:proofErr w:type="spellStart"/>
            <w:r>
              <w:rPr>
                <w:sz w:val="19"/>
                <w:szCs w:val="19"/>
              </w:rPr>
              <w:t>MRDLG</w:t>
            </w:r>
            <w:proofErr w:type="spellEnd"/>
            <w:r>
              <w:rPr>
                <w:sz w:val="19"/>
                <w:szCs w:val="19"/>
              </w:rPr>
              <w:t>=4</w:t>
            </w:r>
          </w:p>
        </w:tc>
        <w:tc>
          <w:tcPr>
            <w:tcW w:w="720" w:type="dxa"/>
            <w:vAlign w:val="center"/>
          </w:tcPr>
          <w:p w14:paraId="2018628E" w14:textId="77777777" w:rsidR="00C22CF5" w:rsidRPr="00A25B0F" w:rsidRDefault="001A5C11" w:rsidP="00A25B0F">
            <w:pPr>
              <w:spacing w:after="0"/>
              <w:jc w:val="center"/>
              <w:rPr>
                <w:sz w:val="19"/>
                <w:szCs w:val="19"/>
              </w:rPr>
            </w:pPr>
            <w:proofErr w:type="spellStart"/>
            <w:r>
              <w:rPr>
                <w:sz w:val="19"/>
                <w:szCs w:val="19"/>
              </w:rPr>
              <w:t>MRDL</w:t>
            </w:r>
            <w:proofErr w:type="spellEnd"/>
            <w:r>
              <w:rPr>
                <w:sz w:val="19"/>
                <w:szCs w:val="19"/>
              </w:rPr>
              <w:t>=4</w:t>
            </w:r>
          </w:p>
        </w:tc>
        <w:tc>
          <w:tcPr>
            <w:tcW w:w="720" w:type="dxa"/>
            <w:vAlign w:val="center"/>
          </w:tcPr>
          <w:p w14:paraId="62899BBA" w14:textId="67667686" w:rsidR="00C22CF5" w:rsidRPr="00A25B0F" w:rsidRDefault="00853C62" w:rsidP="00A25B0F">
            <w:pPr>
              <w:spacing w:after="0"/>
              <w:jc w:val="center"/>
              <w:rPr>
                <w:sz w:val="19"/>
                <w:szCs w:val="19"/>
              </w:rPr>
            </w:pPr>
            <w:r>
              <w:rPr>
                <w:sz w:val="19"/>
                <w:szCs w:val="19"/>
              </w:rPr>
              <w:t>p</w:t>
            </w:r>
            <w:r w:rsidR="001A5C11">
              <w:rPr>
                <w:sz w:val="19"/>
                <w:szCs w:val="19"/>
              </w:rPr>
              <w:t>pm</w:t>
            </w:r>
          </w:p>
        </w:tc>
        <w:tc>
          <w:tcPr>
            <w:tcW w:w="990" w:type="dxa"/>
            <w:vAlign w:val="center"/>
          </w:tcPr>
          <w:p w14:paraId="54282CF9" w14:textId="6D129553" w:rsidR="00C22CF5" w:rsidRPr="00A25B0F" w:rsidRDefault="00C22CF5" w:rsidP="00A25B0F">
            <w:pPr>
              <w:spacing w:after="0"/>
              <w:jc w:val="center"/>
              <w:rPr>
                <w:sz w:val="19"/>
                <w:szCs w:val="19"/>
              </w:rPr>
            </w:pPr>
            <w:r w:rsidRPr="00A25B0F">
              <w:rPr>
                <w:sz w:val="19"/>
                <w:szCs w:val="19"/>
              </w:rPr>
              <w:t>N</w:t>
            </w:r>
            <w:r w:rsidR="009B4110">
              <w:rPr>
                <w:sz w:val="19"/>
                <w:szCs w:val="19"/>
              </w:rPr>
              <w:t>0</w:t>
            </w:r>
          </w:p>
        </w:tc>
        <w:tc>
          <w:tcPr>
            <w:tcW w:w="2898" w:type="dxa"/>
            <w:vAlign w:val="center"/>
          </w:tcPr>
          <w:p w14:paraId="245236B5" w14:textId="77777777" w:rsidR="00C22CF5" w:rsidRPr="00A25B0F" w:rsidRDefault="001A5C11" w:rsidP="00A25B0F">
            <w:pPr>
              <w:spacing w:after="0"/>
              <w:rPr>
                <w:sz w:val="19"/>
                <w:szCs w:val="19"/>
              </w:rPr>
            </w:pPr>
            <w:r>
              <w:rPr>
                <w:sz w:val="19"/>
                <w:szCs w:val="19"/>
              </w:rPr>
              <w:t>Water additive used to control microbes</w:t>
            </w:r>
          </w:p>
        </w:tc>
      </w:tr>
      <w:tr w:rsidR="004B229B" w:rsidRPr="00A25B0F" w14:paraId="395E0ECE" w14:textId="77777777" w:rsidTr="00902D99">
        <w:tc>
          <w:tcPr>
            <w:tcW w:w="11257" w:type="dxa"/>
            <w:gridSpan w:val="9"/>
            <w:shd w:val="clear" w:color="auto" w:fill="D9D9D9" w:themeFill="background1" w:themeFillShade="D9"/>
            <w:vAlign w:val="center"/>
          </w:tcPr>
          <w:p w14:paraId="33F782B4" w14:textId="3FF52399" w:rsidR="004B229B" w:rsidRPr="009A5232" w:rsidRDefault="004B229B" w:rsidP="00A25B0F">
            <w:pPr>
              <w:spacing w:after="0"/>
              <w:rPr>
                <w:b/>
                <w:bCs/>
                <w:sz w:val="19"/>
                <w:szCs w:val="19"/>
              </w:rPr>
            </w:pPr>
            <w:r w:rsidRPr="009A5232">
              <w:rPr>
                <w:b/>
                <w:bCs/>
                <w:sz w:val="19"/>
                <w:szCs w:val="19"/>
              </w:rPr>
              <w:t>Disinfection Byproducts</w:t>
            </w:r>
          </w:p>
        </w:tc>
      </w:tr>
      <w:tr w:rsidR="00C22CF5" w:rsidRPr="00A25B0F" w14:paraId="41B8B6D3" w14:textId="77777777" w:rsidTr="00902D99">
        <w:tc>
          <w:tcPr>
            <w:tcW w:w="1782" w:type="dxa"/>
            <w:vAlign w:val="center"/>
          </w:tcPr>
          <w:p w14:paraId="658B5099" w14:textId="77777777" w:rsidR="00C22CF5" w:rsidRDefault="001A5C11" w:rsidP="00A25B0F">
            <w:pPr>
              <w:spacing w:after="0"/>
              <w:rPr>
                <w:sz w:val="19"/>
                <w:szCs w:val="19"/>
              </w:rPr>
            </w:pPr>
            <w:proofErr w:type="spellStart"/>
            <w:r>
              <w:rPr>
                <w:sz w:val="19"/>
                <w:szCs w:val="19"/>
              </w:rPr>
              <w:t>Haloacetic</w:t>
            </w:r>
            <w:proofErr w:type="spellEnd"/>
            <w:r>
              <w:rPr>
                <w:sz w:val="19"/>
                <w:szCs w:val="19"/>
              </w:rPr>
              <w:t xml:space="preserve"> Acids</w:t>
            </w:r>
          </w:p>
          <w:p w14:paraId="2C9FF77E" w14:textId="77777777" w:rsidR="001A5C11" w:rsidRPr="00A25B0F" w:rsidRDefault="001A5C11" w:rsidP="00A25B0F">
            <w:pPr>
              <w:spacing w:after="0"/>
              <w:rPr>
                <w:sz w:val="19"/>
                <w:szCs w:val="19"/>
              </w:rPr>
            </w:pPr>
            <w:r>
              <w:rPr>
                <w:sz w:val="19"/>
                <w:szCs w:val="19"/>
              </w:rPr>
              <w:t>(HAA</w:t>
            </w:r>
            <w:proofErr w:type="gramStart"/>
            <w:r>
              <w:rPr>
                <w:sz w:val="19"/>
                <w:szCs w:val="19"/>
              </w:rPr>
              <w:t>5)*</w:t>
            </w:r>
            <w:proofErr w:type="gramEnd"/>
          </w:p>
        </w:tc>
        <w:tc>
          <w:tcPr>
            <w:tcW w:w="1087" w:type="dxa"/>
            <w:vAlign w:val="center"/>
          </w:tcPr>
          <w:p w14:paraId="23938B43" w14:textId="77777777" w:rsidR="00D761F6" w:rsidRDefault="009D1294" w:rsidP="009D1294">
            <w:pPr>
              <w:spacing w:after="0"/>
              <w:rPr>
                <w:sz w:val="19"/>
                <w:szCs w:val="19"/>
              </w:rPr>
            </w:pPr>
            <w:r>
              <w:rPr>
                <w:sz w:val="19"/>
                <w:szCs w:val="19"/>
              </w:rPr>
              <w:t xml:space="preserve">  </w:t>
            </w:r>
          </w:p>
          <w:p w14:paraId="4D34B532" w14:textId="39A120B8" w:rsidR="008A5778" w:rsidRDefault="00D761F6" w:rsidP="009D1294">
            <w:pPr>
              <w:spacing w:after="0"/>
              <w:rPr>
                <w:sz w:val="19"/>
                <w:szCs w:val="19"/>
              </w:rPr>
            </w:pPr>
            <w:r>
              <w:rPr>
                <w:sz w:val="19"/>
                <w:szCs w:val="19"/>
              </w:rPr>
              <w:t xml:space="preserve">   </w:t>
            </w:r>
            <w:r w:rsidR="008A5778">
              <w:rPr>
                <w:sz w:val="19"/>
                <w:szCs w:val="19"/>
              </w:rPr>
              <w:t>8-17-21</w:t>
            </w:r>
            <w:r w:rsidR="000627BE">
              <w:rPr>
                <w:sz w:val="19"/>
                <w:szCs w:val="19"/>
              </w:rPr>
              <w:t xml:space="preserve"> 9-17-21</w:t>
            </w:r>
          </w:p>
          <w:p w14:paraId="0FE67006" w14:textId="2CACB336" w:rsidR="009D1294" w:rsidRPr="00A25B0F" w:rsidRDefault="009D1294" w:rsidP="009D1294">
            <w:pPr>
              <w:spacing w:after="0"/>
              <w:rPr>
                <w:sz w:val="19"/>
                <w:szCs w:val="19"/>
              </w:rPr>
            </w:pPr>
            <w:r>
              <w:rPr>
                <w:sz w:val="19"/>
                <w:szCs w:val="19"/>
              </w:rPr>
              <w:t xml:space="preserve">  </w:t>
            </w:r>
          </w:p>
        </w:tc>
        <w:tc>
          <w:tcPr>
            <w:tcW w:w="1080" w:type="dxa"/>
            <w:vAlign w:val="center"/>
          </w:tcPr>
          <w:p w14:paraId="16644217" w14:textId="6D8CC91F" w:rsidR="00C22CF5" w:rsidRPr="00A25B0F" w:rsidRDefault="00C7074C" w:rsidP="00A25B0F">
            <w:pPr>
              <w:spacing w:after="0"/>
              <w:jc w:val="center"/>
              <w:rPr>
                <w:sz w:val="19"/>
                <w:szCs w:val="19"/>
              </w:rPr>
            </w:pPr>
            <w:r>
              <w:rPr>
                <w:sz w:val="19"/>
                <w:szCs w:val="19"/>
              </w:rPr>
              <w:t>18.4</w:t>
            </w:r>
          </w:p>
        </w:tc>
        <w:tc>
          <w:tcPr>
            <w:tcW w:w="1171" w:type="dxa"/>
            <w:vAlign w:val="center"/>
          </w:tcPr>
          <w:p w14:paraId="1F4830C4" w14:textId="0BF4BF5D" w:rsidR="00C22CF5" w:rsidRPr="00A25B0F" w:rsidRDefault="00514F96" w:rsidP="00A25B0F">
            <w:pPr>
              <w:spacing w:after="0"/>
              <w:jc w:val="center"/>
              <w:rPr>
                <w:sz w:val="19"/>
                <w:szCs w:val="19"/>
              </w:rPr>
            </w:pPr>
            <w:r>
              <w:rPr>
                <w:sz w:val="19"/>
                <w:szCs w:val="19"/>
              </w:rPr>
              <w:t>0.0</w:t>
            </w:r>
            <w:r w:rsidR="0074537C">
              <w:rPr>
                <w:sz w:val="19"/>
                <w:szCs w:val="19"/>
              </w:rPr>
              <w:t xml:space="preserve"> </w:t>
            </w:r>
            <w:r>
              <w:rPr>
                <w:sz w:val="19"/>
                <w:szCs w:val="19"/>
              </w:rPr>
              <w:t>-</w:t>
            </w:r>
            <w:r w:rsidR="0074537C">
              <w:rPr>
                <w:sz w:val="19"/>
                <w:szCs w:val="19"/>
              </w:rPr>
              <w:t xml:space="preserve"> </w:t>
            </w:r>
            <w:r w:rsidR="00C2178C">
              <w:rPr>
                <w:sz w:val="19"/>
                <w:szCs w:val="19"/>
              </w:rPr>
              <w:t>18.4</w:t>
            </w:r>
          </w:p>
        </w:tc>
        <w:tc>
          <w:tcPr>
            <w:tcW w:w="809" w:type="dxa"/>
            <w:vAlign w:val="center"/>
          </w:tcPr>
          <w:p w14:paraId="2F83A2D3" w14:textId="44D51D6D" w:rsidR="00C22CF5" w:rsidRPr="00A25B0F" w:rsidRDefault="00CB6A65" w:rsidP="00A25B0F">
            <w:pPr>
              <w:spacing w:after="0"/>
              <w:jc w:val="center"/>
              <w:rPr>
                <w:sz w:val="19"/>
                <w:szCs w:val="19"/>
              </w:rPr>
            </w:pPr>
            <w:r>
              <w:rPr>
                <w:sz w:val="19"/>
                <w:szCs w:val="19"/>
              </w:rPr>
              <w:t>NA</w:t>
            </w:r>
          </w:p>
        </w:tc>
        <w:tc>
          <w:tcPr>
            <w:tcW w:w="720" w:type="dxa"/>
            <w:vAlign w:val="center"/>
          </w:tcPr>
          <w:p w14:paraId="680A4766" w14:textId="77777777" w:rsidR="00C22CF5" w:rsidRPr="00A25B0F" w:rsidRDefault="001A5C11" w:rsidP="00A25B0F">
            <w:pPr>
              <w:spacing w:after="0"/>
              <w:jc w:val="center"/>
              <w:rPr>
                <w:sz w:val="19"/>
                <w:szCs w:val="19"/>
              </w:rPr>
            </w:pPr>
            <w:r>
              <w:rPr>
                <w:sz w:val="19"/>
                <w:szCs w:val="19"/>
              </w:rPr>
              <w:t>60</w:t>
            </w:r>
          </w:p>
        </w:tc>
        <w:tc>
          <w:tcPr>
            <w:tcW w:w="720" w:type="dxa"/>
            <w:vAlign w:val="center"/>
          </w:tcPr>
          <w:p w14:paraId="6D621095" w14:textId="77777777" w:rsidR="00C22CF5" w:rsidRPr="00A25B0F" w:rsidRDefault="00C22CF5" w:rsidP="00A25B0F">
            <w:pPr>
              <w:spacing w:after="0"/>
              <w:jc w:val="center"/>
              <w:rPr>
                <w:sz w:val="19"/>
                <w:szCs w:val="19"/>
              </w:rPr>
            </w:pPr>
            <w:r w:rsidRPr="00A25B0F">
              <w:rPr>
                <w:sz w:val="19"/>
                <w:szCs w:val="19"/>
              </w:rPr>
              <w:t>ppb</w:t>
            </w:r>
          </w:p>
        </w:tc>
        <w:tc>
          <w:tcPr>
            <w:tcW w:w="990" w:type="dxa"/>
            <w:vAlign w:val="center"/>
          </w:tcPr>
          <w:p w14:paraId="66231FFC" w14:textId="7CF776D4" w:rsidR="00C22CF5" w:rsidRPr="00A25B0F" w:rsidRDefault="00C22CF5" w:rsidP="00A25B0F">
            <w:pPr>
              <w:spacing w:after="0"/>
              <w:jc w:val="center"/>
              <w:rPr>
                <w:sz w:val="19"/>
                <w:szCs w:val="19"/>
              </w:rPr>
            </w:pPr>
            <w:r w:rsidRPr="00A25B0F">
              <w:rPr>
                <w:sz w:val="19"/>
                <w:szCs w:val="19"/>
              </w:rPr>
              <w:t>N</w:t>
            </w:r>
            <w:r w:rsidR="009B4110">
              <w:rPr>
                <w:sz w:val="19"/>
                <w:szCs w:val="19"/>
              </w:rPr>
              <w:t>o</w:t>
            </w:r>
          </w:p>
        </w:tc>
        <w:tc>
          <w:tcPr>
            <w:tcW w:w="2898" w:type="dxa"/>
            <w:vAlign w:val="center"/>
          </w:tcPr>
          <w:p w14:paraId="6C8EEA20" w14:textId="77777777" w:rsidR="00C22CF5" w:rsidRPr="00A25B0F" w:rsidRDefault="00C22CF5" w:rsidP="00A25B0F">
            <w:pPr>
              <w:spacing w:after="0"/>
              <w:rPr>
                <w:sz w:val="19"/>
                <w:szCs w:val="19"/>
              </w:rPr>
            </w:pPr>
            <w:r w:rsidRPr="00A25B0F">
              <w:rPr>
                <w:sz w:val="19"/>
                <w:szCs w:val="19"/>
              </w:rPr>
              <w:t>By-product of drinking water chlorination.</w:t>
            </w:r>
          </w:p>
        </w:tc>
      </w:tr>
      <w:tr w:rsidR="00C22CF5" w:rsidRPr="00A25B0F" w14:paraId="614CCA97" w14:textId="77777777" w:rsidTr="00902D99">
        <w:tc>
          <w:tcPr>
            <w:tcW w:w="1782" w:type="dxa"/>
            <w:shd w:val="clear" w:color="auto" w:fill="FFFFFF" w:themeFill="background1"/>
            <w:vAlign w:val="center"/>
          </w:tcPr>
          <w:p w14:paraId="664A9763" w14:textId="77777777" w:rsidR="00C22CF5" w:rsidRDefault="001A5C11" w:rsidP="00A25B0F">
            <w:pPr>
              <w:spacing w:after="0"/>
              <w:rPr>
                <w:sz w:val="19"/>
                <w:szCs w:val="19"/>
              </w:rPr>
            </w:pPr>
            <w:r>
              <w:rPr>
                <w:sz w:val="19"/>
                <w:szCs w:val="19"/>
              </w:rPr>
              <w:t>Total Trihalomethanes</w:t>
            </w:r>
          </w:p>
          <w:p w14:paraId="569EAFE4" w14:textId="77777777" w:rsidR="001A5C11" w:rsidRPr="00A25B0F" w:rsidRDefault="001A5C11" w:rsidP="00A25B0F">
            <w:pPr>
              <w:spacing w:after="0"/>
              <w:rPr>
                <w:sz w:val="19"/>
                <w:szCs w:val="19"/>
              </w:rPr>
            </w:pPr>
            <w:r>
              <w:rPr>
                <w:sz w:val="19"/>
                <w:szCs w:val="19"/>
              </w:rPr>
              <w:t>(</w:t>
            </w:r>
            <w:proofErr w:type="spellStart"/>
            <w:r>
              <w:rPr>
                <w:sz w:val="19"/>
                <w:szCs w:val="19"/>
              </w:rPr>
              <w:t>TTHM</w:t>
            </w:r>
            <w:proofErr w:type="spellEnd"/>
            <w:r>
              <w:rPr>
                <w:sz w:val="19"/>
                <w:szCs w:val="19"/>
              </w:rPr>
              <w:t>)</w:t>
            </w:r>
          </w:p>
        </w:tc>
        <w:tc>
          <w:tcPr>
            <w:tcW w:w="1087" w:type="dxa"/>
            <w:shd w:val="clear" w:color="auto" w:fill="FFFFFF" w:themeFill="background1"/>
            <w:vAlign w:val="center"/>
          </w:tcPr>
          <w:p w14:paraId="4BD76BA8" w14:textId="77777777" w:rsidR="00D761F6" w:rsidRDefault="00D761F6" w:rsidP="00A25B0F">
            <w:pPr>
              <w:spacing w:after="0"/>
              <w:jc w:val="center"/>
              <w:rPr>
                <w:sz w:val="19"/>
                <w:szCs w:val="19"/>
              </w:rPr>
            </w:pPr>
          </w:p>
          <w:p w14:paraId="35DFB615" w14:textId="77777777" w:rsidR="000930C1" w:rsidRDefault="009D1294" w:rsidP="00A25B0F">
            <w:pPr>
              <w:spacing w:after="0"/>
              <w:jc w:val="center"/>
              <w:rPr>
                <w:sz w:val="19"/>
                <w:szCs w:val="19"/>
              </w:rPr>
            </w:pPr>
            <w:r>
              <w:rPr>
                <w:sz w:val="19"/>
                <w:szCs w:val="19"/>
              </w:rPr>
              <w:t>8</w:t>
            </w:r>
            <w:r w:rsidR="00C2178C">
              <w:rPr>
                <w:sz w:val="19"/>
                <w:szCs w:val="19"/>
              </w:rPr>
              <w:t xml:space="preserve">-17-21 </w:t>
            </w:r>
          </w:p>
          <w:p w14:paraId="1EB0CE00" w14:textId="0BFE4D14" w:rsidR="00C22CF5" w:rsidRDefault="00C2178C" w:rsidP="00A25B0F">
            <w:pPr>
              <w:spacing w:after="0"/>
              <w:jc w:val="center"/>
              <w:rPr>
                <w:sz w:val="19"/>
                <w:szCs w:val="19"/>
              </w:rPr>
            </w:pPr>
            <w:r>
              <w:rPr>
                <w:sz w:val="19"/>
                <w:szCs w:val="19"/>
              </w:rPr>
              <w:t>9-17-21</w:t>
            </w:r>
          </w:p>
          <w:p w14:paraId="20CEB27E" w14:textId="398C0B99" w:rsidR="009D1294" w:rsidRPr="00A25B0F" w:rsidRDefault="009D1294" w:rsidP="00A25B0F">
            <w:pPr>
              <w:spacing w:after="0"/>
              <w:jc w:val="center"/>
              <w:rPr>
                <w:sz w:val="19"/>
                <w:szCs w:val="19"/>
              </w:rPr>
            </w:pPr>
          </w:p>
        </w:tc>
        <w:tc>
          <w:tcPr>
            <w:tcW w:w="1080" w:type="dxa"/>
            <w:shd w:val="clear" w:color="auto" w:fill="FFFFFF" w:themeFill="background1"/>
            <w:vAlign w:val="center"/>
          </w:tcPr>
          <w:p w14:paraId="34A25E7F" w14:textId="353060D1" w:rsidR="00C22CF5" w:rsidRPr="00A25B0F" w:rsidRDefault="00B96A10" w:rsidP="00A25B0F">
            <w:pPr>
              <w:spacing w:after="0"/>
              <w:jc w:val="center"/>
              <w:rPr>
                <w:sz w:val="19"/>
                <w:szCs w:val="19"/>
              </w:rPr>
            </w:pPr>
            <w:r>
              <w:rPr>
                <w:sz w:val="19"/>
                <w:szCs w:val="19"/>
              </w:rPr>
              <w:t>6</w:t>
            </w:r>
            <w:r w:rsidR="0074537C">
              <w:rPr>
                <w:sz w:val="19"/>
                <w:szCs w:val="19"/>
              </w:rPr>
              <w:t>8.5</w:t>
            </w:r>
          </w:p>
        </w:tc>
        <w:tc>
          <w:tcPr>
            <w:tcW w:w="1171" w:type="dxa"/>
            <w:shd w:val="clear" w:color="auto" w:fill="FFFFFF" w:themeFill="background1"/>
            <w:vAlign w:val="center"/>
          </w:tcPr>
          <w:p w14:paraId="540FF5FE" w14:textId="1A675792" w:rsidR="00C22CF5" w:rsidRPr="00A25B0F" w:rsidRDefault="0074537C" w:rsidP="00A25B0F">
            <w:pPr>
              <w:spacing w:after="0"/>
              <w:jc w:val="center"/>
              <w:rPr>
                <w:sz w:val="19"/>
                <w:szCs w:val="19"/>
              </w:rPr>
            </w:pPr>
            <w:r>
              <w:rPr>
                <w:sz w:val="19"/>
                <w:szCs w:val="19"/>
              </w:rPr>
              <w:t>52.</w:t>
            </w:r>
            <w:r w:rsidR="00B96A10">
              <w:rPr>
                <w:sz w:val="19"/>
                <w:szCs w:val="19"/>
              </w:rPr>
              <w:t>1</w:t>
            </w:r>
            <w:r>
              <w:rPr>
                <w:sz w:val="19"/>
                <w:szCs w:val="19"/>
              </w:rPr>
              <w:t xml:space="preserve"> </w:t>
            </w:r>
            <w:r w:rsidR="00B96A10">
              <w:rPr>
                <w:sz w:val="19"/>
                <w:szCs w:val="19"/>
              </w:rPr>
              <w:t>-</w:t>
            </w:r>
            <w:r>
              <w:rPr>
                <w:sz w:val="19"/>
                <w:szCs w:val="19"/>
              </w:rPr>
              <w:t xml:space="preserve"> </w:t>
            </w:r>
            <w:r w:rsidR="00B96A10">
              <w:rPr>
                <w:sz w:val="19"/>
                <w:szCs w:val="19"/>
              </w:rPr>
              <w:t>6</w:t>
            </w:r>
            <w:r>
              <w:rPr>
                <w:sz w:val="19"/>
                <w:szCs w:val="19"/>
              </w:rPr>
              <w:t>8.5</w:t>
            </w:r>
          </w:p>
        </w:tc>
        <w:tc>
          <w:tcPr>
            <w:tcW w:w="809" w:type="dxa"/>
            <w:shd w:val="clear" w:color="auto" w:fill="FFFFFF" w:themeFill="background1"/>
            <w:vAlign w:val="center"/>
          </w:tcPr>
          <w:p w14:paraId="035CF289" w14:textId="6679904B" w:rsidR="00C22CF5" w:rsidRPr="00A25B0F" w:rsidRDefault="00CB6A65" w:rsidP="00A25B0F">
            <w:pPr>
              <w:spacing w:after="0"/>
              <w:jc w:val="center"/>
              <w:rPr>
                <w:sz w:val="19"/>
                <w:szCs w:val="19"/>
              </w:rPr>
            </w:pPr>
            <w:r>
              <w:rPr>
                <w:sz w:val="19"/>
                <w:szCs w:val="19"/>
              </w:rPr>
              <w:t>NA</w:t>
            </w:r>
          </w:p>
        </w:tc>
        <w:tc>
          <w:tcPr>
            <w:tcW w:w="720" w:type="dxa"/>
            <w:shd w:val="clear" w:color="auto" w:fill="FFFFFF" w:themeFill="background1"/>
            <w:vAlign w:val="center"/>
          </w:tcPr>
          <w:p w14:paraId="1FD11C68" w14:textId="77777777" w:rsidR="00C22CF5" w:rsidRPr="00A25B0F" w:rsidRDefault="001A5C11" w:rsidP="00A25B0F">
            <w:pPr>
              <w:spacing w:after="0"/>
              <w:jc w:val="center"/>
              <w:rPr>
                <w:sz w:val="19"/>
                <w:szCs w:val="19"/>
              </w:rPr>
            </w:pPr>
            <w:r>
              <w:rPr>
                <w:sz w:val="19"/>
                <w:szCs w:val="19"/>
              </w:rPr>
              <w:t>80</w:t>
            </w:r>
          </w:p>
        </w:tc>
        <w:tc>
          <w:tcPr>
            <w:tcW w:w="720" w:type="dxa"/>
            <w:shd w:val="clear" w:color="auto" w:fill="FFFFFF" w:themeFill="background1"/>
            <w:vAlign w:val="center"/>
          </w:tcPr>
          <w:p w14:paraId="343B82D2" w14:textId="3880160A" w:rsidR="00C22CF5" w:rsidRPr="00A25B0F" w:rsidRDefault="00853C62" w:rsidP="00A25B0F">
            <w:pPr>
              <w:spacing w:after="0"/>
              <w:jc w:val="center"/>
              <w:rPr>
                <w:sz w:val="19"/>
                <w:szCs w:val="19"/>
              </w:rPr>
            </w:pPr>
            <w:r>
              <w:rPr>
                <w:sz w:val="19"/>
                <w:szCs w:val="19"/>
              </w:rPr>
              <w:t>p</w:t>
            </w:r>
            <w:r w:rsidR="001A5C11">
              <w:rPr>
                <w:sz w:val="19"/>
                <w:szCs w:val="19"/>
              </w:rPr>
              <w:t>pb</w:t>
            </w:r>
          </w:p>
        </w:tc>
        <w:tc>
          <w:tcPr>
            <w:tcW w:w="990" w:type="dxa"/>
            <w:shd w:val="clear" w:color="auto" w:fill="FFFFFF" w:themeFill="background1"/>
            <w:vAlign w:val="center"/>
          </w:tcPr>
          <w:p w14:paraId="6A167F3D" w14:textId="3C968F96" w:rsidR="00C22CF5" w:rsidRPr="00A25B0F" w:rsidRDefault="001A5C11" w:rsidP="00A25B0F">
            <w:pPr>
              <w:spacing w:after="0"/>
              <w:jc w:val="center"/>
              <w:rPr>
                <w:sz w:val="19"/>
                <w:szCs w:val="19"/>
              </w:rPr>
            </w:pPr>
            <w:r>
              <w:rPr>
                <w:sz w:val="19"/>
                <w:szCs w:val="19"/>
              </w:rPr>
              <w:t>N</w:t>
            </w:r>
            <w:r w:rsidR="009B4110">
              <w:rPr>
                <w:sz w:val="19"/>
                <w:szCs w:val="19"/>
              </w:rPr>
              <w:t>o</w:t>
            </w:r>
          </w:p>
        </w:tc>
        <w:tc>
          <w:tcPr>
            <w:tcW w:w="2898" w:type="dxa"/>
            <w:shd w:val="clear" w:color="auto" w:fill="FFFFFF" w:themeFill="background1"/>
            <w:vAlign w:val="center"/>
          </w:tcPr>
          <w:p w14:paraId="7C1C35E7" w14:textId="68CBE22D" w:rsidR="00C22CF5" w:rsidRPr="00A25B0F" w:rsidRDefault="00255ECA" w:rsidP="00A25B0F">
            <w:pPr>
              <w:spacing w:after="0"/>
              <w:rPr>
                <w:sz w:val="19"/>
                <w:szCs w:val="19"/>
              </w:rPr>
            </w:pPr>
            <w:r w:rsidRPr="00A25B0F">
              <w:rPr>
                <w:sz w:val="19"/>
                <w:szCs w:val="19"/>
              </w:rPr>
              <w:t>By-product of drinking water chlorination.</w:t>
            </w:r>
          </w:p>
        </w:tc>
      </w:tr>
      <w:tr w:rsidR="006841C8" w:rsidRPr="00A25B0F" w14:paraId="196A8306" w14:textId="77777777" w:rsidTr="00902D99">
        <w:trPr>
          <w:trHeight w:val="350"/>
        </w:trPr>
        <w:tc>
          <w:tcPr>
            <w:tcW w:w="11257" w:type="dxa"/>
            <w:gridSpan w:val="9"/>
            <w:shd w:val="clear" w:color="auto" w:fill="D9D9D9" w:themeFill="background1" w:themeFillShade="D9"/>
            <w:vAlign w:val="center"/>
          </w:tcPr>
          <w:p w14:paraId="1B2C9C07" w14:textId="420E3FE1" w:rsidR="006841C8" w:rsidRPr="00524F2A" w:rsidRDefault="005A0412" w:rsidP="006841C8">
            <w:pPr>
              <w:spacing w:after="0"/>
              <w:rPr>
                <w:b/>
                <w:sz w:val="19"/>
                <w:szCs w:val="19"/>
              </w:rPr>
            </w:pPr>
            <w:r>
              <w:rPr>
                <w:b/>
                <w:sz w:val="19"/>
                <w:szCs w:val="19"/>
              </w:rPr>
              <w:t>In</w:t>
            </w:r>
            <w:r w:rsidR="00E9736B">
              <w:rPr>
                <w:b/>
                <w:sz w:val="19"/>
                <w:szCs w:val="19"/>
              </w:rPr>
              <w:t>organic C</w:t>
            </w:r>
            <w:r w:rsidR="00850B1F">
              <w:rPr>
                <w:b/>
                <w:sz w:val="19"/>
                <w:szCs w:val="19"/>
              </w:rPr>
              <w:t>ontaminants</w:t>
            </w:r>
          </w:p>
        </w:tc>
      </w:tr>
      <w:tr w:rsidR="00A837F7" w:rsidRPr="00A25B0F" w14:paraId="74A69D2B" w14:textId="77777777" w:rsidTr="00902D99">
        <w:trPr>
          <w:trHeight w:val="107"/>
        </w:trPr>
        <w:tc>
          <w:tcPr>
            <w:tcW w:w="1782" w:type="dxa"/>
            <w:vAlign w:val="center"/>
          </w:tcPr>
          <w:p w14:paraId="2250AABC" w14:textId="26ACE6BA" w:rsidR="00C57F08" w:rsidRDefault="00E03934" w:rsidP="00A25B0F">
            <w:pPr>
              <w:spacing w:after="0"/>
              <w:rPr>
                <w:sz w:val="19"/>
                <w:szCs w:val="19"/>
              </w:rPr>
            </w:pPr>
            <w:bookmarkStart w:id="0" w:name="_Hlk37327454"/>
            <w:r>
              <w:rPr>
                <w:sz w:val="19"/>
                <w:szCs w:val="19"/>
              </w:rPr>
              <w:t>Barium</w:t>
            </w:r>
          </w:p>
        </w:tc>
        <w:tc>
          <w:tcPr>
            <w:tcW w:w="1087" w:type="dxa"/>
            <w:vAlign w:val="center"/>
          </w:tcPr>
          <w:p w14:paraId="0BB2C36B" w14:textId="2E0D68D9" w:rsidR="00A837F7" w:rsidRDefault="00E03934" w:rsidP="00A25B0F">
            <w:pPr>
              <w:spacing w:after="0"/>
              <w:jc w:val="center"/>
              <w:rPr>
                <w:sz w:val="19"/>
                <w:szCs w:val="19"/>
              </w:rPr>
            </w:pPr>
            <w:r>
              <w:rPr>
                <w:sz w:val="19"/>
                <w:szCs w:val="19"/>
              </w:rPr>
              <w:t>2018</w:t>
            </w:r>
          </w:p>
        </w:tc>
        <w:tc>
          <w:tcPr>
            <w:tcW w:w="1080" w:type="dxa"/>
            <w:vAlign w:val="center"/>
          </w:tcPr>
          <w:p w14:paraId="63FFA088" w14:textId="2D0B667B" w:rsidR="00A837F7" w:rsidRDefault="000927FE" w:rsidP="00A25B0F">
            <w:pPr>
              <w:spacing w:after="0"/>
              <w:jc w:val="center"/>
              <w:rPr>
                <w:sz w:val="19"/>
                <w:szCs w:val="19"/>
              </w:rPr>
            </w:pPr>
            <w:r>
              <w:rPr>
                <w:sz w:val="19"/>
                <w:szCs w:val="19"/>
              </w:rPr>
              <w:t>0.0282</w:t>
            </w:r>
          </w:p>
        </w:tc>
        <w:tc>
          <w:tcPr>
            <w:tcW w:w="1171" w:type="dxa"/>
            <w:vAlign w:val="center"/>
          </w:tcPr>
          <w:p w14:paraId="60BE783E" w14:textId="1C5D035D" w:rsidR="00A837F7" w:rsidRDefault="000927FE" w:rsidP="00A25B0F">
            <w:pPr>
              <w:spacing w:after="0"/>
              <w:jc w:val="center"/>
              <w:rPr>
                <w:sz w:val="19"/>
                <w:szCs w:val="19"/>
              </w:rPr>
            </w:pPr>
            <w:r>
              <w:rPr>
                <w:sz w:val="19"/>
                <w:szCs w:val="19"/>
              </w:rPr>
              <w:t>0.0282</w:t>
            </w:r>
          </w:p>
        </w:tc>
        <w:tc>
          <w:tcPr>
            <w:tcW w:w="809" w:type="dxa"/>
            <w:vAlign w:val="center"/>
          </w:tcPr>
          <w:p w14:paraId="0617BF83" w14:textId="5FBD01AF" w:rsidR="00A837F7" w:rsidRDefault="00456602" w:rsidP="00A25B0F">
            <w:pPr>
              <w:spacing w:after="0"/>
              <w:jc w:val="center"/>
              <w:rPr>
                <w:sz w:val="19"/>
                <w:szCs w:val="19"/>
              </w:rPr>
            </w:pPr>
            <w:r>
              <w:rPr>
                <w:sz w:val="19"/>
                <w:szCs w:val="19"/>
              </w:rPr>
              <w:t>2</w:t>
            </w:r>
          </w:p>
        </w:tc>
        <w:tc>
          <w:tcPr>
            <w:tcW w:w="720" w:type="dxa"/>
            <w:vAlign w:val="center"/>
          </w:tcPr>
          <w:p w14:paraId="581AC806" w14:textId="61124B65" w:rsidR="00A837F7" w:rsidRDefault="00676C52" w:rsidP="00A25B0F">
            <w:pPr>
              <w:spacing w:after="0"/>
              <w:jc w:val="center"/>
              <w:rPr>
                <w:sz w:val="19"/>
                <w:szCs w:val="19"/>
              </w:rPr>
            </w:pPr>
            <w:r>
              <w:rPr>
                <w:sz w:val="19"/>
                <w:szCs w:val="19"/>
              </w:rPr>
              <w:t>2</w:t>
            </w:r>
          </w:p>
        </w:tc>
        <w:tc>
          <w:tcPr>
            <w:tcW w:w="720" w:type="dxa"/>
            <w:vAlign w:val="center"/>
          </w:tcPr>
          <w:p w14:paraId="16787A4E" w14:textId="07EDE870" w:rsidR="00A837F7" w:rsidRDefault="00676C52" w:rsidP="00EE682A">
            <w:pPr>
              <w:spacing w:after="0"/>
              <w:rPr>
                <w:sz w:val="19"/>
                <w:szCs w:val="19"/>
              </w:rPr>
            </w:pPr>
            <w:r>
              <w:rPr>
                <w:sz w:val="19"/>
                <w:szCs w:val="19"/>
              </w:rPr>
              <w:t>ppm</w:t>
            </w:r>
          </w:p>
        </w:tc>
        <w:tc>
          <w:tcPr>
            <w:tcW w:w="990" w:type="dxa"/>
            <w:vAlign w:val="center"/>
          </w:tcPr>
          <w:p w14:paraId="26F8B9EF" w14:textId="158A830E" w:rsidR="00A837F7" w:rsidRDefault="006A280D" w:rsidP="00A25B0F">
            <w:pPr>
              <w:spacing w:after="0"/>
              <w:jc w:val="center"/>
              <w:rPr>
                <w:sz w:val="19"/>
                <w:szCs w:val="19"/>
              </w:rPr>
            </w:pPr>
            <w:r>
              <w:rPr>
                <w:sz w:val="19"/>
                <w:szCs w:val="19"/>
              </w:rPr>
              <w:t>No</w:t>
            </w:r>
          </w:p>
        </w:tc>
        <w:tc>
          <w:tcPr>
            <w:tcW w:w="2898" w:type="dxa"/>
            <w:vAlign w:val="center"/>
          </w:tcPr>
          <w:p w14:paraId="2F01D71F" w14:textId="4A0262E1" w:rsidR="00C57F08" w:rsidRDefault="00ED4C84" w:rsidP="00524F2A">
            <w:pPr>
              <w:spacing w:after="0"/>
              <w:rPr>
                <w:sz w:val="19"/>
                <w:szCs w:val="19"/>
              </w:rPr>
            </w:pPr>
            <w:r>
              <w:rPr>
                <w:sz w:val="19"/>
                <w:szCs w:val="19"/>
              </w:rPr>
              <w:t>Erosion of natural deposits</w:t>
            </w:r>
          </w:p>
        </w:tc>
      </w:tr>
      <w:tr w:rsidR="00FA0631" w:rsidRPr="009A48CC" w14:paraId="449652A6" w14:textId="77777777" w:rsidTr="00FA0631">
        <w:trPr>
          <w:trHeight w:val="107"/>
        </w:trPr>
        <w:tc>
          <w:tcPr>
            <w:tcW w:w="1782" w:type="dxa"/>
            <w:shd w:val="clear" w:color="auto" w:fill="D9D9D9" w:themeFill="background1" w:themeFillShade="D9"/>
            <w:vAlign w:val="center"/>
          </w:tcPr>
          <w:p w14:paraId="366C58E2" w14:textId="34563CC2" w:rsidR="00FA0631" w:rsidRPr="00FA0631" w:rsidRDefault="00FA0631" w:rsidP="00A25B0F">
            <w:pPr>
              <w:spacing w:after="0"/>
              <w:rPr>
                <w:b/>
                <w:bCs/>
                <w:sz w:val="19"/>
                <w:szCs w:val="19"/>
              </w:rPr>
            </w:pPr>
            <w:r>
              <w:rPr>
                <w:b/>
                <w:bCs/>
                <w:sz w:val="19"/>
                <w:szCs w:val="19"/>
              </w:rPr>
              <w:t>Lead</w:t>
            </w:r>
            <w:r w:rsidR="00203DC1">
              <w:rPr>
                <w:b/>
                <w:bCs/>
                <w:sz w:val="19"/>
                <w:szCs w:val="19"/>
              </w:rPr>
              <w:t xml:space="preserve"> and Copper</w:t>
            </w:r>
          </w:p>
        </w:tc>
        <w:tc>
          <w:tcPr>
            <w:tcW w:w="1087" w:type="dxa"/>
            <w:shd w:val="clear" w:color="auto" w:fill="D9D9D9" w:themeFill="background1" w:themeFillShade="D9"/>
            <w:vAlign w:val="center"/>
          </w:tcPr>
          <w:p w14:paraId="759AAC6A" w14:textId="77777777" w:rsidR="00FA0631" w:rsidRPr="009A48CC" w:rsidRDefault="00FA0631" w:rsidP="00A25B0F">
            <w:pPr>
              <w:spacing w:after="0"/>
              <w:jc w:val="center"/>
              <w:rPr>
                <w:sz w:val="19"/>
                <w:szCs w:val="19"/>
              </w:rPr>
            </w:pPr>
          </w:p>
        </w:tc>
        <w:tc>
          <w:tcPr>
            <w:tcW w:w="1080" w:type="dxa"/>
            <w:shd w:val="clear" w:color="auto" w:fill="D9D9D9" w:themeFill="background1" w:themeFillShade="D9"/>
            <w:vAlign w:val="center"/>
          </w:tcPr>
          <w:p w14:paraId="65CF79F7" w14:textId="77777777" w:rsidR="00FA0631" w:rsidRDefault="00D54B12" w:rsidP="00A25B0F">
            <w:pPr>
              <w:spacing w:after="0"/>
              <w:jc w:val="center"/>
              <w:rPr>
                <w:sz w:val="19"/>
                <w:szCs w:val="19"/>
              </w:rPr>
            </w:pPr>
            <w:r>
              <w:rPr>
                <w:sz w:val="19"/>
                <w:szCs w:val="19"/>
              </w:rPr>
              <w:t>90</w:t>
            </w:r>
            <w:r w:rsidR="004A7C50" w:rsidRPr="004A7C50">
              <w:rPr>
                <w:sz w:val="19"/>
                <w:szCs w:val="19"/>
                <w:vertAlign w:val="superscript"/>
              </w:rPr>
              <w:t>th</w:t>
            </w:r>
          </w:p>
          <w:p w14:paraId="49D5684D" w14:textId="20E21599" w:rsidR="004A7C50" w:rsidRPr="009A48CC" w:rsidRDefault="004A7C50" w:rsidP="00A25B0F">
            <w:pPr>
              <w:spacing w:after="0"/>
              <w:jc w:val="center"/>
              <w:rPr>
                <w:sz w:val="19"/>
                <w:szCs w:val="19"/>
              </w:rPr>
            </w:pPr>
            <w:r>
              <w:rPr>
                <w:sz w:val="19"/>
                <w:szCs w:val="19"/>
              </w:rPr>
              <w:t>Percentile</w:t>
            </w:r>
          </w:p>
        </w:tc>
        <w:tc>
          <w:tcPr>
            <w:tcW w:w="1171" w:type="dxa"/>
            <w:shd w:val="clear" w:color="auto" w:fill="D9D9D9" w:themeFill="background1" w:themeFillShade="D9"/>
            <w:vAlign w:val="center"/>
          </w:tcPr>
          <w:p w14:paraId="1B0F2D50" w14:textId="77777777" w:rsidR="00FA0631" w:rsidRPr="009A48CC" w:rsidRDefault="00FA0631" w:rsidP="00A25B0F">
            <w:pPr>
              <w:spacing w:after="0"/>
              <w:jc w:val="center"/>
              <w:rPr>
                <w:sz w:val="19"/>
                <w:szCs w:val="19"/>
              </w:rPr>
            </w:pPr>
          </w:p>
        </w:tc>
        <w:tc>
          <w:tcPr>
            <w:tcW w:w="809" w:type="dxa"/>
            <w:shd w:val="clear" w:color="auto" w:fill="D9D9D9" w:themeFill="background1" w:themeFillShade="D9"/>
            <w:vAlign w:val="center"/>
          </w:tcPr>
          <w:p w14:paraId="304A19A6" w14:textId="77777777" w:rsidR="00FA0631" w:rsidRPr="009A48CC" w:rsidRDefault="00FA0631" w:rsidP="00A25B0F">
            <w:pPr>
              <w:spacing w:after="0"/>
              <w:jc w:val="center"/>
              <w:rPr>
                <w:sz w:val="19"/>
                <w:szCs w:val="19"/>
              </w:rPr>
            </w:pPr>
          </w:p>
        </w:tc>
        <w:tc>
          <w:tcPr>
            <w:tcW w:w="720" w:type="dxa"/>
            <w:shd w:val="clear" w:color="auto" w:fill="D9D9D9" w:themeFill="background1" w:themeFillShade="D9"/>
            <w:vAlign w:val="center"/>
          </w:tcPr>
          <w:p w14:paraId="25C6C900" w14:textId="77777777" w:rsidR="00FA0631" w:rsidRPr="009A48CC" w:rsidRDefault="00FA0631" w:rsidP="00A25B0F">
            <w:pPr>
              <w:spacing w:after="0"/>
              <w:jc w:val="center"/>
              <w:rPr>
                <w:sz w:val="19"/>
                <w:szCs w:val="19"/>
              </w:rPr>
            </w:pPr>
          </w:p>
        </w:tc>
        <w:tc>
          <w:tcPr>
            <w:tcW w:w="720" w:type="dxa"/>
            <w:shd w:val="clear" w:color="auto" w:fill="D9D9D9" w:themeFill="background1" w:themeFillShade="D9"/>
            <w:vAlign w:val="center"/>
          </w:tcPr>
          <w:p w14:paraId="5619DAB8" w14:textId="77777777" w:rsidR="00FA0631" w:rsidRPr="009A48CC" w:rsidRDefault="00FA0631" w:rsidP="00EE682A">
            <w:pPr>
              <w:spacing w:after="0"/>
              <w:rPr>
                <w:sz w:val="19"/>
                <w:szCs w:val="19"/>
              </w:rPr>
            </w:pPr>
          </w:p>
        </w:tc>
        <w:tc>
          <w:tcPr>
            <w:tcW w:w="990" w:type="dxa"/>
            <w:shd w:val="clear" w:color="auto" w:fill="D9D9D9" w:themeFill="background1" w:themeFillShade="D9"/>
            <w:vAlign w:val="center"/>
          </w:tcPr>
          <w:p w14:paraId="38E896E4" w14:textId="77777777" w:rsidR="00FA0631" w:rsidRPr="009A48CC" w:rsidRDefault="00FA0631" w:rsidP="00A25B0F">
            <w:pPr>
              <w:spacing w:after="0"/>
              <w:jc w:val="center"/>
              <w:rPr>
                <w:sz w:val="19"/>
                <w:szCs w:val="19"/>
              </w:rPr>
            </w:pPr>
          </w:p>
        </w:tc>
        <w:tc>
          <w:tcPr>
            <w:tcW w:w="2898" w:type="dxa"/>
            <w:shd w:val="clear" w:color="auto" w:fill="D9D9D9" w:themeFill="background1" w:themeFillShade="D9"/>
            <w:vAlign w:val="center"/>
          </w:tcPr>
          <w:p w14:paraId="4DF17EB2" w14:textId="77777777" w:rsidR="00FA0631" w:rsidRPr="009A48CC" w:rsidRDefault="00FA0631" w:rsidP="00524F2A">
            <w:pPr>
              <w:spacing w:after="0"/>
              <w:rPr>
                <w:sz w:val="19"/>
                <w:szCs w:val="19"/>
              </w:rPr>
            </w:pPr>
          </w:p>
        </w:tc>
      </w:tr>
      <w:tr w:rsidR="003B4845" w:rsidRPr="00A25B0F" w14:paraId="6AB3837F" w14:textId="77777777" w:rsidTr="00902D99">
        <w:trPr>
          <w:trHeight w:val="107"/>
        </w:trPr>
        <w:tc>
          <w:tcPr>
            <w:tcW w:w="1782" w:type="dxa"/>
            <w:vAlign w:val="center"/>
          </w:tcPr>
          <w:p w14:paraId="780FCB0E" w14:textId="44C53755" w:rsidR="003B4845" w:rsidRDefault="00292AB5" w:rsidP="00A25B0F">
            <w:pPr>
              <w:spacing w:after="0"/>
              <w:rPr>
                <w:sz w:val="19"/>
                <w:szCs w:val="19"/>
              </w:rPr>
            </w:pPr>
            <w:r>
              <w:rPr>
                <w:sz w:val="19"/>
                <w:szCs w:val="19"/>
              </w:rPr>
              <w:t>Copper</w:t>
            </w:r>
          </w:p>
        </w:tc>
        <w:tc>
          <w:tcPr>
            <w:tcW w:w="1087" w:type="dxa"/>
            <w:vAlign w:val="center"/>
          </w:tcPr>
          <w:p w14:paraId="10EDDCCA" w14:textId="61FCB1AD" w:rsidR="003B4845" w:rsidRDefault="008B58B9" w:rsidP="00A25B0F">
            <w:pPr>
              <w:spacing w:after="0"/>
              <w:jc w:val="center"/>
              <w:rPr>
                <w:sz w:val="19"/>
                <w:szCs w:val="19"/>
              </w:rPr>
            </w:pPr>
            <w:r>
              <w:rPr>
                <w:sz w:val="19"/>
                <w:szCs w:val="19"/>
              </w:rPr>
              <w:t>2021</w:t>
            </w:r>
          </w:p>
        </w:tc>
        <w:tc>
          <w:tcPr>
            <w:tcW w:w="1080" w:type="dxa"/>
            <w:vAlign w:val="center"/>
          </w:tcPr>
          <w:p w14:paraId="103BD8E0" w14:textId="4C5137D3" w:rsidR="003B4845" w:rsidRDefault="00E46FF6" w:rsidP="00A25B0F">
            <w:pPr>
              <w:spacing w:after="0"/>
              <w:jc w:val="center"/>
              <w:rPr>
                <w:sz w:val="19"/>
                <w:szCs w:val="19"/>
              </w:rPr>
            </w:pPr>
            <w:r>
              <w:rPr>
                <w:sz w:val="19"/>
                <w:szCs w:val="19"/>
              </w:rPr>
              <w:t>0.273</w:t>
            </w:r>
          </w:p>
        </w:tc>
        <w:tc>
          <w:tcPr>
            <w:tcW w:w="1171" w:type="dxa"/>
            <w:vAlign w:val="center"/>
          </w:tcPr>
          <w:p w14:paraId="62FBB249" w14:textId="77777777" w:rsidR="003B4845" w:rsidRDefault="003B4845" w:rsidP="00A25B0F">
            <w:pPr>
              <w:spacing w:after="0"/>
              <w:jc w:val="center"/>
              <w:rPr>
                <w:sz w:val="19"/>
                <w:szCs w:val="19"/>
              </w:rPr>
            </w:pPr>
          </w:p>
        </w:tc>
        <w:tc>
          <w:tcPr>
            <w:tcW w:w="809" w:type="dxa"/>
            <w:vAlign w:val="center"/>
          </w:tcPr>
          <w:p w14:paraId="6CF37B1A" w14:textId="1CAA2E85" w:rsidR="003B4845" w:rsidRDefault="00292AB5" w:rsidP="00A25B0F">
            <w:pPr>
              <w:spacing w:after="0"/>
              <w:jc w:val="center"/>
              <w:rPr>
                <w:sz w:val="19"/>
                <w:szCs w:val="19"/>
              </w:rPr>
            </w:pPr>
            <w:r>
              <w:rPr>
                <w:sz w:val="19"/>
                <w:szCs w:val="19"/>
              </w:rPr>
              <w:t>1.3</w:t>
            </w:r>
          </w:p>
        </w:tc>
        <w:tc>
          <w:tcPr>
            <w:tcW w:w="720" w:type="dxa"/>
            <w:vAlign w:val="center"/>
          </w:tcPr>
          <w:p w14:paraId="53C67374" w14:textId="2CC2FA6F" w:rsidR="003B4845" w:rsidRDefault="00292AB5" w:rsidP="00A25B0F">
            <w:pPr>
              <w:spacing w:after="0"/>
              <w:jc w:val="center"/>
              <w:rPr>
                <w:sz w:val="19"/>
                <w:szCs w:val="19"/>
              </w:rPr>
            </w:pPr>
            <w:r>
              <w:rPr>
                <w:sz w:val="19"/>
                <w:szCs w:val="19"/>
              </w:rPr>
              <w:t>1.3</w:t>
            </w:r>
          </w:p>
        </w:tc>
        <w:tc>
          <w:tcPr>
            <w:tcW w:w="720" w:type="dxa"/>
            <w:vAlign w:val="center"/>
          </w:tcPr>
          <w:p w14:paraId="7F480F44" w14:textId="34E94244" w:rsidR="003B4845" w:rsidRDefault="00763BD6" w:rsidP="00EE682A">
            <w:pPr>
              <w:spacing w:after="0"/>
              <w:rPr>
                <w:sz w:val="19"/>
                <w:szCs w:val="19"/>
              </w:rPr>
            </w:pPr>
            <w:r>
              <w:rPr>
                <w:sz w:val="19"/>
                <w:szCs w:val="19"/>
              </w:rPr>
              <w:t>Pp</w:t>
            </w:r>
            <w:r w:rsidR="00413D7F">
              <w:rPr>
                <w:sz w:val="19"/>
                <w:szCs w:val="19"/>
              </w:rPr>
              <w:t>m</w:t>
            </w:r>
          </w:p>
        </w:tc>
        <w:tc>
          <w:tcPr>
            <w:tcW w:w="990" w:type="dxa"/>
            <w:vAlign w:val="center"/>
          </w:tcPr>
          <w:p w14:paraId="0A7E93A6" w14:textId="5240DE6C" w:rsidR="003B4845" w:rsidRDefault="00763BD6" w:rsidP="00A25B0F">
            <w:pPr>
              <w:spacing w:after="0"/>
              <w:jc w:val="center"/>
              <w:rPr>
                <w:sz w:val="19"/>
                <w:szCs w:val="19"/>
              </w:rPr>
            </w:pPr>
            <w:r>
              <w:rPr>
                <w:sz w:val="19"/>
                <w:szCs w:val="19"/>
              </w:rPr>
              <w:t>No</w:t>
            </w:r>
          </w:p>
        </w:tc>
        <w:tc>
          <w:tcPr>
            <w:tcW w:w="2898" w:type="dxa"/>
            <w:vAlign w:val="center"/>
          </w:tcPr>
          <w:p w14:paraId="34F3092B" w14:textId="02505994" w:rsidR="003B4845" w:rsidRDefault="00763BD6" w:rsidP="00524F2A">
            <w:pPr>
              <w:spacing w:after="0"/>
              <w:rPr>
                <w:sz w:val="19"/>
                <w:szCs w:val="19"/>
              </w:rPr>
            </w:pPr>
            <w:r>
              <w:rPr>
                <w:sz w:val="19"/>
                <w:szCs w:val="19"/>
              </w:rPr>
              <w:t>Erosion of natural deposits</w:t>
            </w:r>
            <w:r w:rsidR="00153C93">
              <w:rPr>
                <w:sz w:val="19"/>
                <w:szCs w:val="19"/>
              </w:rPr>
              <w:t>; Corrosion household plumbing</w:t>
            </w:r>
          </w:p>
        </w:tc>
      </w:tr>
      <w:tr w:rsidR="003F52DB" w:rsidRPr="00A25B0F" w14:paraId="2117431A" w14:textId="77777777" w:rsidTr="008A2828">
        <w:trPr>
          <w:trHeight w:val="395"/>
        </w:trPr>
        <w:tc>
          <w:tcPr>
            <w:tcW w:w="1782" w:type="dxa"/>
            <w:vAlign w:val="center"/>
          </w:tcPr>
          <w:p w14:paraId="2F23FA54" w14:textId="5945D906" w:rsidR="003F52DB" w:rsidRDefault="00292AB5" w:rsidP="00A25B0F">
            <w:pPr>
              <w:spacing w:after="0"/>
              <w:rPr>
                <w:sz w:val="19"/>
                <w:szCs w:val="19"/>
              </w:rPr>
            </w:pPr>
            <w:r>
              <w:rPr>
                <w:sz w:val="19"/>
                <w:szCs w:val="19"/>
              </w:rPr>
              <w:t>Lead</w:t>
            </w:r>
          </w:p>
        </w:tc>
        <w:tc>
          <w:tcPr>
            <w:tcW w:w="1087" w:type="dxa"/>
            <w:vAlign w:val="center"/>
          </w:tcPr>
          <w:p w14:paraId="124732FF" w14:textId="087A1EDF" w:rsidR="003F52DB" w:rsidRDefault="008B58B9" w:rsidP="00A25B0F">
            <w:pPr>
              <w:spacing w:after="0"/>
              <w:jc w:val="center"/>
              <w:rPr>
                <w:sz w:val="19"/>
                <w:szCs w:val="19"/>
              </w:rPr>
            </w:pPr>
            <w:r>
              <w:rPr>
                <w:sz w:val="19"/>
                <w:szCs w:val="19"/>
              </w:rPr>
              <w:t>2021</w:t>
            </w:r>
          </w:p>
        </w:tc>
        <w:tc>
          <w:tcPr>
            <w:tcW w:w="1080" w:type="dxa"/>
            <w:vAlign w:val="center"/>
          </w:tcPr>
          <w:p w14:paraId="507C293E" w14:textId="0CD42052" w:rsidR="003F52DB" w:rsidRDefault="00413D7F" w:rsidP="00A25B0F">
            <w:pPr>
              <w:spacing w:after="0"/>
              <w:jc w:val="center"/>
              <w:rPr>
                <w:sz w:val="19"/>
                <w:szCs w:val="19"/>
              </w:rPr>
            </w:pPr>
            <w:r>
              <w:rPr>
                <w:sz w:val="19"/>
                <w:szCs w:val="19"/>
              </w:rPr>
              <w:t>2.5</w:t>
            </w:r>
          </w:p>
        </w:tc>
        <w:tc>
          <w:tcPr>
            <w:tcW w:w="1171" w:type="dxa"/>
            <w:vAlign w:val="center"/>
          </w:tcPr>
          <w:p w14:paraId="464709BD" w14:textId="77777777" w:rsidR="003F52DB" w:rsidRDefault="003F52DB" w:rsidP="00A25B0F">
            <w:pPr>
              <w:spacing w:after="0"/>
              <w:jc w:val="center"/>
              <w:rPr>
                <w:sz w:val="19"/>
                <w:szCs w:val="19"/>
              </w:rPr>
            </w:pPr>
          </w:p>
        </w:tc>
        <w:tc>
          <w:tcPr>
            <w:tcW w:w="809" w:type="dxa"/>
            <w:vAlign w:val="center"/>
          </w:tcPr>
          <w:p w14:paraId="2E4D65D0" w14:textId="7829CD47" w:rsidR="003F52DB" w:rsidRDefault="003A548A" w:rsidP="00A25B0F">
            <w:pPr>
              <w:spacing w:after="0"/>
              <w:jc w:val="center"/>
              <w:rPr>
                <w:sz w:val="19"/>
                <w:szCs w:val="19"/>
              </w:rPr>
            </w:pPr>
            <w:r>
              <w:rPr>
                <w:sz w:val="19"/>
                <w:szCs w:val="19"/>
              </w:rPr>
              <w:t>0</w:t>
            </w:r>
          </w:p>
        </w:tc>
        <w:tc>
          <w:tcPr>
            <w:tcW w:w="720" w:type="dxa"/>
            <w:vAlign w:val="center"/>
          </w:tcPr>
          <w:p w14:paraId="6A47A158" w14:textId="1BD023B3" w:rsidR="003F52DB" w:rsidRDefault="003A548A" w:rsidP="00A25B0F">
            <w:pPr>
              <w:spacing w:after="0"/>
              <w:jc w:val="center"/>
              <w:rPr>
                <w:sz w:val="19"/>
                <w:szCs w:val="19"/>
              </w:rPr>
            </w:pPr>
            <w:r>
              <w:rPr>
                <w:sz w:val="19"/>
                <w:szCs w:val="19"/>
              </w:rPr>
              <w:t>15</w:t>
            </w:r>
          </w:p>
        </w:tc>
        <w:tc>
          <w:tcPr>
            <w:tcW w:w="720" w:type="dxa"/>
            <w:vAlign w:val="center"/>
          </w:tcPr>
          <w:p w14:paraId="5905A36E" w14:textId="1C54F700" w:rsidR="003F52DB" w:rsidRDefault="003A548A" w:rsidP="00EE682A">
            <w:pPr>
              <w:spacing w:after="0"/>
              <w:rPr>
                <w:sz w:val="19"/>
                <w:szCs w:val="19"/>
              </w:rPr>
            </w:pPr>
            <w:r>
              <w:rPr>
                <w:sz w:val="19"/>
                <w:szCs w:val="19"/>
              </w:rPr>
              <w:t>Pp</w:t>
            </w:r>
            <w:r w:rsidR="0011778A">
              <w:rPr>
                <w:sz w:val="19"/>
                <w:szCs w:val="19"/>
              </w:rPr>
              <w:t>b</w:t>
            </w:r>
          </w:p>
        </w:tc>
        <w:tc>
          <w:tcPr>
            <w:tcW w:w="990" w:type="dxa"/>
            <w:vAlign w:val="center"/>
          </w:tcPr>
          <w:p w14:paraId="485B9378" w14:textId="0742674A" w:rsidR="003F52DB" w:rsidRDefault="003A548A" w:rsidP="00A25B0F">
            <w:pPr>
              <w:spacing w:after="0"/>
              <w:jc w:val="center"/>
              <w:rPr>
                <w:sz w:val="19"/>
                <w:szCs w:val="19"/>
              </w:rPr>
            </w:pPr>
            <w:r>
              <w:rPr>
                <w:sz w:val="19"/>
                <w:szCs w:val="19"/>
              </w:rPr>
              <w:t>No</w:t>
            </w:r>
          </w:p>
        </w:tc>
        <w:tc>
          <w:tcPr>
            <w:tcW w:w="2898" w:type="dxa"/>
            <w:vAlign w:val="center"/>
          </w:tcPr>
          <w:p w14:paraId="7C353AA2" w14:textId="6AC01AA3" w:rsidR="003F52DB" w:rsidRDefault="005A351F" w:rsidP="00524F2A">
            <w:pPr>
              <w:spacing w:after="0"/>
              <w:rPr>
                <w:sz w:val="19"/>
                <w:szCs w:val="19"/>
              </w:rPr>
            </w:pPr>
            <w:r>
              <w:rPr>
                <w:sz w:val="19"/>
                <w:szCs w:val="19"/>
              </w:rPr>
              <w:t>Erosion of natural deposits; Corrosion household plumbing</w:t>
            </w:r>
          </w:p>
        </w:tc>
      </w:tr>
      <w:tr w:rsidR="002F6794" w:rsidRPr="00A25B0F" w14:paraId="3AD76488" w14:textId="77777777" w:rsidTr="008A2828">
        <w:trPr>
          <w:trHeight w:val="395"/>
        </w:trPr>
        <w:tc>
          <w:tcPr>
            <w:tcW w:w="1782" w:type="dxa"/>
            <w:vAlign w:val="center"/>
          </w:tcPr>
          <w:p w14:paraId="3D8571F8" w14:textId="77777777" w:rsidR="002F6794" w:rsidRPr="002F6794" w:rsidRDefault="002F6794" w:rsidP="002F6794">
            <w:pPr>
              <w:pStyle w:val="ListParagraph"/>
              <w:spacing w:after="0"/>
              <w:rPr>
                <w:sz w:val="19"/>
                <w:szCs w:val="19"/>
              </w:rPr>
            </w:pPr>
          </w:p>
        </w:tc>
        <w:tc>
          <w:tcPr>
            <w:tcW w:w="1087" w:type="dxa"/>
            <w:vAlign w:val="center"/>
          </w:tcPr>
          <w:p w14:paraId="43721128" w14:textId="77777777" w:rsidR="002F6794" w:rsidRDefault="002F6794" w:rsidP="00A25B0F">
            <w:pPr>
              <w:spacing w:after="0"/>
              <w:jc w:val="center"/>
              <w:rPr>
                <w:sz w:val="19"/>
                <w:szCs w:val="19"/>
              </w:rPr>
            </w:pPr>
          </w:p>
        </w:tc>
        <w:tc>
          <w:tcPr>
            <w:tcW w:w="1080" w:type="dxa"/>
            <w:vAlign w:val="center"/>
          </w:tcPr>
          <w:p w14:paraId="0A09121D" w14:textId="77777777" w:rsidR="002F6794" w:rsidRDefault="002F6794" w:rsidP="00A25B0F">
            <w:pPr>
              <w:spacing w:after="0"/>
              <w:jc w:val="center"/>
              <w:rPr>
                <w:sz w:val="19"/>
                <w:szCs w:val="19"/>
              </w:rPr>
            </w:pPr>
          </w:p>
        </w:tc>
        <w:tc>
          <w:tcPr>
            <w:tcW w:w="1171" w:type="dxa"/>
            <w:vAlign w:val="center"/>
          </w:tcPr>
          <w:p w14:paraId="19088933" w14:textId="77777777" w:rsidR="002F6794" w:rsidRDefault="002F6794" w:rsidP="00A25B0F">
            <w:pPr>
              <w:spacing w:after="0"/>
              <w:jc w:val="center"/>
              <w:rPr>
                <w:sz w:val="19"/>
                <w:szCs w:val="19"/>
              </w:rPr>
            </w:pPr>
          </w:p>
        </w:tc>
        <w:tc>
          <w:tcPr>
            <w:tcW w:w="809" w:type="dxa"/>
            <w:vAlign w:val="center"/>
          </w:tcPr>
          <w:p w14:paraId="778438E0" w14:textId="77777777" w:rsidR="002F6794" w:rsidRDefault="002F6794" w:rsidP="00A25B0F">
            <w:pPr>
              <w:spacing w:after="0"/>
              <w:jc w:val="center"/>
              <w:rPr>
                <w:sz w:val="19"/>
                <w:szCs w:val="19"/>
              </w:rPr>
            </w:pPr>
          </w:p>
        </w:tc>
        <w:tc>
          <w:tcPr>
            <w:tcW w:w="720" w:type="dxa"/>
            <w:vAlign w:val="center"/>
          </w:tcPr>
          <w:p w14:paraId="2686D0EE" w14:textId="77777777" w:rsidR="002F6794" w:rsidRDefault="002F6794" w:rsidP="00A25B0F">
            <w:pPr>
              <w:spacing w:after="0"/>
              <w:jc w:val="center"/>
              <w:rPr>
                <w:sz w:val="19"/>
                <w:szCs w:val="19"/>
              </w:rPr>
            </w:pPr>
          </w:p>
        </w:tc>
        <w:tc>
          <w:tcPr>
            <w:tcW w:w="720" w:type="dxa"/>
            <w:vAlign w:val="center"/>
          </w:tcPr>
          <w:p w14:paraId="1D09EF23" w14:textId="77777777" w:rsidR="002F6794" w:rsidRDefault="002F6794" w:rsidP="00EE682A">
            <w:pPr>
              <w:spacing w:after="0"/>
              <w:rPr>
                <w:sz w:val="19"/>
                <w:szCs w:val="19"/>
              </w:rPr>
            </w:pPr>
          </w:p>
        </w:tc>
        <w:tc>
          <w:tcPr>
            <w:tcW w:w="990" w:type="dxa"/>
            <w:vAlign w:val="center"/>
          </w:tcPr>
          <w:p w14:paraId="2127DFCB" w14:textId="77777777" w:rsidR="002F6794" w:rsidRDefault="002F6794" w:rsidP="00A25B0F">
            <w:pPr>
              <w:spacing w:after="0"/>
              <w:jc w:val="center"/>
              <w:rPr>
                <w:sz w:val="19"/>
                <w:szCs w:val="19"/>
              </w:rPr>
            </w:pPr>
          </w:p>
        </w:tc>
        <w:tc>
          <w:tcPr>
            <w:tcW w:w="2898" w:type="dxa"/>
            <w:vAlign w:val="center"/>
          </w:tcPr>
          <w:p w14:paraId="11C12C91" w14:textId="77777777" w:rsidR="002F6794" w:rsidRDefault="002F6794" w:rsidP="00524F2A">
            <w:pPr>
              <w:spacing w:after="0"/>
              <w:rPr>
                <w:sz w:val="19"/>
                <w:szCs w:val="19"/>
              </w:rPr>
            </w:pPr>
          </w:p>
        </w:tc>
      </w:tr>
      <w:bookmarkEnd w:id="0"/>
      <w:tr w:rsidR="00C22CF5" w:rsidRPr="00A25B0F" w14:paraId="31651CBD" w14:textId="77777777" w:rsidTr="00902D99">
        <w:tc>
          <w:tcPr>
            <w:tcW w:w="11257" w:type="dxa"/>
            <w:gridSpan w:val="9"/>
            <w:shd w:val="pct12" w:color="auto" w:fill="auto"/>
            <w:vAlign w:val="center"/>
          </w:tcPr>
          <w:p w14:paraId="4E94EC5A" w14:textId="3533155E" w:rsidR="00803DC2" w:rsidRDefault="001B012C" w:rsidP="00A25B0F">
            <w:pPr>
              <w:pStyle w:val="ListParagraph"/>
              <w:numPr>
                <w:ilvl w:val="0"/>
                <w:numId w:val="1"/>
              </w:numPr>
              <w:spacing w:after="0"/>
              <w:ind w:left="480"/>
              <w:jc w:val="both"/>
              <w:rPr>
                <w:sz w:val="20"/>
                <w:szCs w:val="20"/>
              </w:rPr>
            </w:pPr>
            <w:r>
              <w:rPr>
                <w:sz w:val="20"/>
                <w:szCs w:val="20"/>
              </w:rPr>
              <w:t>1 out of 20 samples</w:t>
            </w:r>
            <w:r w:rsidR="00387109">
              <w:rPr>
                <w:sz w:val="20"/>
                <w:szCs w:val="20"/>
              </w:rPr>
              <w:t xml:space="preserve"> were</w:t>
            </w:r>
            <w:r>
              <w:rPr>
                <w:sz w:val="20"/>
                <w:szCs w:val="20"/>
              </w:rPr>
              <w:t xml:space="preserve"> found to have </w:t>
            </w:r>
            <w:r w:rsidR="000903AD">
              <w:rPr>
                <w:sz w:val="20"/>
                <w:szCs w:val="20"/>
              </w:rPr>
              <w:t xml:space="preserve">lead levels </w:t>
            </w:r>
            <w:proofErr w:type="gramStart"/>
            <w:r w:rsidR="000903AD">
              <w:rPr>
                <w:sz w:val="20"/>
                <w:szCs w:val="20"/>
              </w:rPr>
              <w:t>in excess of</w:t>
            </w:r>
            <w:proofErr w:type="gramEnd"/>
            <w:r w:rsidR="000903AD">
              <w:rPr>
                <w:sz w:val="20"/>
                <w:szCs w:val="20"/>
              </w:rPr>
              <w:t xml:space="preserve"> the lead action level of 15 ppb</w:t>
            </w:r>
          </w:p>
          <w:p w14:paraId="13D9B7E1" w14:textId="4F97A4C7" w:rsidR="00803DC2" w:rsidRDefault="00D8539D" w:rsidP="00A25B0F">
            <w:pPr>
              <w:pStyle w:val="ListParagraph"/>
              <w:numPr>
                <w:ilvl w:val="0"/>
                <w:numId w:val="1"/>
              </w:numPr>
              <w:spacing w:after="0"/>
              <w:ind w:left="480"/>
              <w:jc w:val="both"/>
              <w:rPr>
                <w:sz w:val="20"/>
                <w:szCs w:val="20"/>
              </w:rPr>
            </w:pPr>
            <w:r>
              <w:rPr>
                <w:sz w:val="20"/>
                <w:szCs w:val="20"/>
              </w:rPr>
              <w:t xml:space="preserve">0 out of 20 samples were found to have lead levels </w:t>
            </w:r>
            <w:proofErr w:type="gramStart"/>
            <w:r>
              <w:rPr>
                <w:sz w:val="20"/>
                <w:szCs w:val="20"/>
              </w:rPr>
              <w:t>in excess</w:t>
            </w:r>
            <w:r w:rsidR="00387109">
              <w:rPr>
                <w:sz w:val="20"/>
                <w:szCs w:val="20"/>
              </w:rPr>
              <w:t xml:space="preserve"> of</w:t>
            </w:r>
            <w:proofErr w:type="gramEnd"/>
            <w:r w:rsidR="00387109">
              <w:rPr>
                <w:sz w:val="20"/>
                <w:szCs w:val="20"/>
              </w:rPr>
              <w:t xml:space="preserve"> the copper action level of 1.3 ppm</w:t>
            </w:r>
          </w:p>
          <w:p w14:paraId="34D6E253" w14:textId="423C06B2" w:rsidR="00C22CF5" w:rsidRPr="00A25B0F" w:rsidRDefault="00C22CF5" w:rsidP="00A25B0F">
            <w:pPr>
              <w:pStyle w:val="ListParagraph"/>
              <w:numPr>
                <w:ilvl w:val="0"/>
                <w:numId w:val="1"/>
              </w:numPr>
              <w:spacing w:after="0"/>
              <w:ind w:left="480"/>
              <w:jc w:val="both"/>
              <w:rPr>
                <w:sz w:val="20"/>
                <w:szCs w:val="20"/>
              </w:rPr>
            </w:pPr>
            <w:r w:rsidRPr="00A25B0F">
              <w:rPr>
                <w:sz w:val="20"/>
                <w:szCs w:val="20"/>
              </w:rPr>
              <w:t xml:space="preserve">Maximum Contaminant Level Goal or </w:t>
            </w:r>
            <w:proofErr w:type="spellStart"/>
            <w:r w:rsidRPr="00A25B0F">
              <w:rPr>
                <w:sz w:val="20"/>
                <w:szCs w:val="20"/>
              </w:rPr>
              <w:t>MCLG</w:t>
            </w:r>
            <w:proofErr w:type="spellEnd"/>
            <w:r w:rsidRPr="00A25B0F">
              <w:rPr>
                <w:sz w:val="20"/>
                <w:szCs w:val="20"/>
              </w:rPr>
              <w:t xml:space="preserve">:  The level of a contaminant in drinking water below which there is no known or expected risk to health. </w:t>
            </w:r>
            <w:proofErr w:type="spellStart"/>
            <w:r w:rsidRPr="00A25B0F">
              <w:rPr>
                <w:sz w:val="20"/>
                <w:szCs w:val="20"/>
              </w:rPr>
              <w:t>MCLGs</w:t>
            </w:r>
            <w:proofErr w:type="spellEnd"/>
            <w:r w:rsidRPr="00A25B0F">
              <w:rPr>
                <w:sz w:val="20"/>
                <w:szCs w:val="20"/>
              </w:rPr>
              <w:t xml:space="preserve"> allow for a margin of safety.</w:t>
            </w:r>
          </w:p>
          <w:p w14:paraId="32B54DD0" w14:textId="77777777" w:rsidR="00C22CF5" w:rsidRPr="00A25B0F" w:rsidRDefault="00C22CF5" w:rsidP="00A25B0F">
            <w:pPr>
              <w:pStyle w:val="ListParagraph"/>
              <w:numPr>
                <w:ilvl w:val="0"/>
                <w:numId w:val="1"/>
              </w:numPr>
              <w:spacing w:after="0"/>
              <w:ind w:left="480"/>
              <w:jc w:val="both"/>
              <w:rPr>
                <w:sz w:val="20"/>
                <w:szCs w:val="20"/>
              </w:rPr>
            </w:pPr>
            <w:r w:rsidRPr="00A25B0F">
              <w:rPr>
                <w:sz w:val="20"/>
                <w:szCs w:val="20"/>
              </w:rPr>
              <w:t xml:space="preserve">Maximum Contaminant Level or MCL:  The highest level of a contaminant that is allowed in drinking water. </w:t>
            </w:r>
            <w:proofErr w:type="spellStart"/>
            <w:r w:rsidRPr="00A25B0F">
              <w:rPr>
                <w:sz w:val="20"/>
                <w:szCs w:val="20"/>
              </w:rPr>
              <w:t>MCLs</w:t>
            </w:r>
            <w:proofErr w:type="spellEnd"/>
            <w:r w:rsidRPr="00A25B0F">
              <w:rPr>
                <w:sz w:val="20"/>
                <w:szCs w:val="20"/>
              </w:rPr>
              <w:t xml:space="preserve"> are set as close to the </w:t>
            </w:r>
            <w:proofErr w:type="spellStart"/>
            <w:r w:rsidRPr="00A25B0F">
              <w:rPr>
                <w:sz w:val="20"/>
                <w:szCs w:val="20"/>
              </w:rPr>
              <w:t>MCLGs</w:t>
            </w:r>
            <w:proofErr w:type="spellEnd"/>
            <w:r w:rsidRPr="00A25B0F">
              <w:rPr>
                <w:sz w:val="20"/>
                <w:szCs w:val="20"/>
              </w:rPr>
              <w:t xml:space="preserve"> as feasible using the best available treatment technology.</w:t>
            </w:r>
          </w:p>
          <w:p w14:paraId="7076FF39" w14:textId="77777777" w:rsidR="00C22CF5" w:rsidRPr="00A25B0F" w:rsidRDefault="00C22CF5" w:rsidP="00A25B0F">
            <w:pPr>
              <w:pStyle w:val="ListParagraph"/>
              <w:numPr>
                <w:ilvl w:val="0"/>
                <w:numId w:val="1"/>
              </w:numPr>
              <w:spacing w:after="0"/>
              <w:ind w:left="480"/>
              <w:jc w:val="both"/>
              <w:rPr>
                <w:sz w:val="20"/>
                <w:szCs w:val="20"/>
              </w:rPr>
            </w:pPr>
            <w:r w:rsidRPr="00A25B0F">
              <w:rPr>
                <w:sz w:val="20"/>
                <w:szCs w:val="20"/>
              </w:rPr>
              <w:t>Action Level (AL):  The concentration of a contaminant which, if exceeded, triggers treatment or other requirements which a water system must follow.</w:t>
            </w:r>
          </w:p>
          <w:p w14:paraId="202A25AB" w14:textId="77777777" w:rsidR="00C22CF5" w:rsidRPr="00A25B0F" w:rsidRDefault="00C22CF5" w:rsidP="00A25B0F">
            <w:pPr>
              <w:pStyle w:val="ListParagraph"/>
              <w:numPr>
                <w:ilvl w:val="0"/>
                <w:numId w:val="1"/>
              </w:numPr>
              <w:spacing w:after="0"/>
              <w:ind w:left="480"/>
              <w:jc w:val="both"/>
              <w:rPr>
                <w:sz w:val="20"/>
                <w:szCs w:val="20"/>
              </w:rPr>
            </w:pPr>
            <w:r w:rsidRPr="00A25B0F">
              <w:rPr>
                <w:sz w:val="20"/>
                <w:szCs w:val="20"/>
              </w:rPr>
              <w:t>ppm:  milligrams per liter or parts per million – or one ounce in 7,350 gallons of water.</w:t>
            </w:r>
          </w:p>
          <w:p w14:paraId="0BF3E39F" w14:textId="77777777" w:rsidR="00C22CF5" w:rsidRPr="00A25B0F" w:rsidRDefault="00C22CF5" w:rsidP="00A25B0F">
            <w:pPr>
              <w:pStyle w:val="ListParagraph"/>
              <w:numPr>
                <w:ilvl w:val="0"/>
                <w:numId w:val="1"/>
              </w:numPr>
              <w:spacing w:after="0"/>
              <w:ind w:left="480"/>
              <w:jc w:val="both"/>
              <w:rPr>
                <w:sz w:val="20"/>
                <w:szCs w:val="20"/>
              </w:rPr>
            </w:pPr>
            <w:r w:rsidRPr="00A25B0F">
              <w:rPr>
                <w:sz w:val="20"/>
                <w:szCs w:val="20"/>
              </w:rPr>
              <w:t>ppb:  micrograms per liter or parts per billion – or one ounce in 7,350,000 gallons of water.</w:t>
            </w:r>
          </w:p>
          <w:p w14:paraId="2FF95CB8" w14:textId="3344DC02" w:rsidR="00EB58D0" w:rsidRPr="00803DC2" w:rsidRDefault="00C22CF5" w:rsidP="00803DC2">
            <w:pPr>
              <w:pStyle w:val="ListParagraph"/>
              <w:numPr>
                <w:ilvl w:val="0"/>
                <w:numId w:val="1"/>
              </w:numPr>
              <w:spacing w:after="0"/>
              <w:ind w:left="480"/>
              <w:jc w:val="both"/>
              <w:rPr>
                <w:sz w:val="20"/>
                <w:szCs w:val="20"/>
              </w:rPr>
            </w:pPr>
            <w:r w:rsidRPr="00A25B0F">
              <w:rPr>
                <w:sz w:val="20"/>
                <w:szCs w:val="20"/>
              </w:rPr>
              <w:t xml:space="preserve">Action Level Goal (ALG):  The level of a contaminant in drinking water below which there is no known or expected risk to health. </w:t>
            </w:r>
            <w:proofErr w:type="spellStart"/>
            <w:r w:rsidRPr="00A25B0F">
              <w:rPr>
                <w:sz w:val="20"/>
                <w:szCs w:val="20"/>
              </w:rPr>
              <w:t>ALGs</w:t>
            </w:r>
            <w:proofErr w:type="spellEnd"/>
            <w:r w:rsidRPr="00A25B0F">
              <w:rPr>
                <w:sz w:val="20"/>
                <w:szCs w:val="20"/>
              </w:rPr>
              <w:t xml:space="preserve"> allow for a margin of safety.</w:t>
            </w:r>
          </w:p>
          <w:p w14:paraId="266FFDB7" w14:textId="2130C9DA" w:rsidR="0086589B" w:rsidRPr="00A25B0F" w:rsidRDefault="00EA1779" w:rsidP="00A25B0F">
            <w:pPr>
              <w:pStyle w:val="ListParagraph"/>
              <w:numPr>
                <w:ilvl w:val="0"/>
                <w:numId w:val="1"/>
              </w:numPr>
              <w:spacing w:after="0"/>
              <w:ind w:left="480"/>
              <w:jc w:val="both"/>
              <w:rPr>
                <w:sz w:val="20"/>
                <w:szCs w:val="20"/>
              </w:rPr>
            </w:pPr>
            <w:proofErr w:type="gramStart"/>
            <w:r>
              <w:rPr>
                <w:sz w:val="20"/>
                <w:szCs w:val="20"/>
              </w:rPr>
              <w:t>“ &lt;</w:t>
            </w:r>
            <w:proofErr w:type="gramEnd"/>
            <w:r>
              <w:rPr>
                <w:sz w:val="20"/>
                <w:szCs w:val="20"/>
              </w:rPr>
              <w:t xml:space="preserve"> “ </w:t>
            </w:r>
            <w:r w:rsidR="005D6FB5">
              <w:rPr>
                <w:sz w:val="20"/>
                <w:szCs w:val="20"/>
              </w:rPr>
              <w:t xml:space="preserve"> Less then</w:t>
            </w:r>
          </w:p>
        </w:tc>
      </w:tr>
    </w:tbl>
    <w:p w14:paraId="673E3263" w14:textId="77777777" w:rsidR="004D3D14" w:rsidRDefault="004D3D14" w:rsidP="00AA6DB9">
      <w:pPr>
        <w:spacing w:after="0"/>
        <w:jc w:val="both"/>
        <w:rPr>
          <w:b/>
        </w:rPr>
      </w:pPr>
    </w:p>
    <w:p w14:paraId="017FF81A" w14:textId="1C9DA7E1" w:rsidR="00C22CF5" w:rsidRPr="00D91205" w:rsidRDefault="00C22CF5" w:rsidP="00AA6DB9">
      <w:pPr>
        <w:spacing w:after="0"/>
        <w:jc w:val="both"/>
        <w:rPr>
          <w:b/>
        </w:rPr>
      </w:pPr>
      <w:r w:rsidRPr="00D91205">
        <w:rPr>
          <w:b/>
        </w:rPr>
        <w:t>How can you participate in decisions concerning our drinking water?</w:t>
      </w:r>
    </w:p>
    <w:p w14:paraId="255DAB61" w14:textId="7D6B4895" w:rsidR="00C22CF5" w:rsidRPr="00D91205" w:rsidRDefault="00C22CF5" w:rsidP="00AA6DB9">
      <w:pPr>
        <w:spacing w:after="0"/>
        <w:jc w:val="both"/>
      </w:pPr>
      <w:r w:rsidRPr="00D91205">
        <w:t xml:space="preserve">Public participation and comments are encouraged at regular meetings of the Roseville Village Council, which </w:t>
      </w:r>
      <w:r w:rsidR="00CD2956">
        <w:t>meets on the</w:t>
      </w:r>
      <w:r w:rsidRPr="00D91205">
        <w:t xml:space="preserve"> </w:t>
      </w:r>
      <w:r w:rsidR="00A06D46">
        <w:t xml:space="preserve">first and </w:t>
      </w:r>
      <w:r w:rsidRPr="00D91205">
        <w:t>third</w:t>
      </w:r>
      <w:r w:rsidR="00CD2956">
        <w:t xml:space="preserve"> Tuesdays of each month, at 6:30</w:t>
      </w:r>
      <w:r w:rsidRPr="00D91205">
        <w:t xml:space="preserve"> p.m., at the </w:t>
      </w:r>
      <w:r w:rsidR="0076570C">
        <w:t>William H Barker Community Center</w:t>
      </w:r>
      <w:r w:rsidR="00013B68">
        <w:t xml:space="preserve"> 13047 Karl Brown Rd</w:t>
      </w:r>
      <w:r w:rsidRPr="00D91205">
        <w:t>.</w:t>
      </w:r>
    </w:p>
    <w:p w14:paraId="158468FB" w14:textId="77777777" w:rsidR="00C22CF5" w:rsidRPr="00D91205" w:rsidRDefault="00C22CF5" w:rsidP="00AA6DB9">
      <w:pPr>
        <w:spacing w:after="0"/>
        <w:jc w:val="both"/>
      </w:pPr>
      <w:r w:rsidRPr="00D91205">
        <w:t xml:space="preserve"> </w:t>
      </w:r>
    </w:p>
    <w:p w14:paraId="13BC21C4" w14:textId="77777777" w:rsidR="00C22CF5" w:rsidRPr="00D91205" w:rsidRDefault="00C22CF5" w:rsidP="00AA6DB9">
      <w:pPr>
        <w:spacing w:after="0"/>
        <w:jc w:val="both"/>
        <w:rPr>
          <w:b/>
        </w:rPr>
      </w:pPr>
      <w:r w:rsidRPr="00D91205">
        <w:rPr>
          <w:b/>
        </w:rPr>
        <w:lastRenderedPageBreak/>
        <w:t>For more information</w:t>
      </w:r>
    </w:p>
    <w:p w14:paraId="33681D5B" w14:textId="6DBC4329" w:rsidR="00C22CF5" w:rsidRPr="00D91205" w:rsidRDefault="00C22CF5" w:rsidP="00AA6DB9">
      <w:pPr>
        <w:spacing w:after="0"/>
        <w:jc w:val="both"/>
      </w:pPr>
      <w:r w:rsidRPr="00D91205">
        <w:t xml:space="preserve">If you have any questions regarding this report, or any matter regarding our drinking water, please contact </w:t>
      </w:r>
      <w:r w:rsidR="00902D99">
        <w:t>Tim Adams</w:t>
      </w:r>
      <w:r w:rsidRPr="00D91205">
        <w:t>, Operator of Record at (740) 697-7310.</w:t>
      </w:r>
    </w:p>
    <w:sectPr w:rsidR="00C22CF5" w:rsidRPr="00D91205" w:rsidSect="00D56DEB">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0923"/>
    <w:multiLevelType w:val="hybridMultilevel"/>
    <w:tmpl w:val="4784F4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EC048F1"/>
    <w:multiLevelType w:val="hybridMultilevel"/>
    <w:tmpl w:val="F0905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698D"/>
    <w:multiLevelType w:val="hybridMultilevel"/>
    <w:tmpl w:val="3944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30ED1"/>
    <w:multiLevelType w:val="hybridMultilevel"/>
    <w:tmpl w:val="145E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B118D"/>
    <w:multiLevelType w:val="hybridMultilevel"/>
    <w:tmpl w:val="FCA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141388">
    <w:abstractNumId w:val="4"/>
  </w:num>
  <w:num w:numId="2" w16cid:durableId="2017534588">
    <w:abstractNumId w:val="0"/>
  </w:num>
  <w:num w:numId="3" w16cid:durableId="981738255">
    <w:abstractNumId w:val="1"/>
  </w:num>
  <w:num w:numId="4" w16cid:durableId="384526953">
    <w:abstractNumId w:val="3"/>
  </w:num>
  <w:num w:numId="5" w16cid:durableId="554007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F4"/>
    <w:rsid w:val="00013B68"/>
    <w:rsid w:val="00057ACE"/>
    <w:rsid w:val="000627BE"/>
    <w:rsid w:val="0006575D"/>
    <w:rsid w:val="00066581"/>
    <w:rsid w:val="000903AD"/>
    <w:rsid w:val="000927FE"/>
    <w:rsid w:val="000930C1"/>
    <w:rsid w:val="000A5C85"/>
    <w:rsid w:val="000B5E36"/>
    <w:rsid w:val="000C7030"/>
    <w:rsid w:val="000E2270"/>
    <w:rsid w:val="000E5BAC"/>
    <w:rsid w:val="000F1FC9"/>
    <w:rsid w:val="00101198"/>
    <w:rsid w:val="0011642E"/>
    <w:rsid w:val="0011778A"/>
    <w:rsid w:val="00133D6F"/>
    <w:rsid w:val="00140C34"/>
    <w:rsid w:val="001438F2"/>
    <w:rsid w:val="00153C93"/>
    <w:rsid w:val="0016678D"/>
    <w:rsid w:val="001941FA"/>
    <w:rsid w:val="001A5C11"/>
    <w:rsid w:val="001B012C"/>
    <w:rsid w:val="001B344A"/>
    <w:rsid w:val="001C4BA3"/>
    <w:rsid w:val="001D22F9"/>
    <w:rsid w:val="001D2B1C"/>
    <w:rsid w:val="001E1943"/>
    <w:rsid w:val="001F067C"/>
    <w:rsid w:val="001F3C47"/>
    <w:rsid w:val="00203DC1"/>
    <w:rsid w:val="00207694"/>
    <w:rsid w:val="00216CBC"/>
    <w:rsid w:val="00216DBA"/>
    <w:rsid w:val="00230889"/>
    <w:rsid w:val="00240E5D"/>
    <w:rsid w:val="00242BA9"/>
    <w:rsid w:val="0024586D"/>
    <w:rsid w:val="00245A8D"/>
    <w:rsid w:val="00246C92"/>
    <w:rsid w:val="00255ECA"/>
    <w:rsid w:val="00262DA9"/>
    <w:rsid w:val="00267B7D"/>
    <w:rsid w:val="00273D03"/>
    <w:rsid w:val="002768E2"/>
    <w:rsid w:val="00292AB5"/>
    <w:rsid w:val="00292B90"/>
    <w:rsid w:val="00292C48"/>
    <w:rsid w:val="00297007"/>
    <w:rsid w:val="002C377A"/>
    <w:rsid w:val="002D0D9B"/>
    <w:rsid w:val="002D138F"/>
    <w:rsid w:val="002D5135"/>
    <w:rsid w:val="002E3FAA"/>
    <w:rsid w:val="002F6794"/>
    <w:rsid w:val="00311C6F"/>
    <w:rsid w:val="00376F7A"/>
    <w:rsid w:val="00377F0B"/>
    <w:rsid w:val="00386059"/>
    <w:rsid w:val="00387109"/>
    <w:rsid w:val="003953F4"/>
    <w:rsid w:val="003A548A"/>
    <w:rsid w:val="003B4845"/>
    <w:rsid w:val="003B5B7F"/>
    <w:rsid w:val="003D67D0"/>
    <w:rsid w:val="003E47DE"/>
    <w:rsid w:val="003F52DB"/>
    <w:rsid w:val="00411851"/>
    <w:rsid w:val="00413D7F"/>
    <w:rsid w:val="00416271"/>
    <w:rsid w:val="004510BF"/>
    <w:rsid w:val="00451CFE"/>
    <w:rsid w:val="00456602"/>
    <w:rsid w:val="004568DD"/>
    <w:rsid w:val="0048460E"/>
    <w:rsid w:val="00491C4A"/>
    <w:rsid w:val="004A244E"/>
    <w:rsid w:val="004A7C50"/>
    <w:rsid w:val="004B229B"/>
    <w:rsid w:val="004B2D08"/>
    <w:rsid w:val="004D3D14"/>
    <w:rsid w:val="005010DF"/>
    <w:rsid w:val="00501C7E"/>
    <w:rsid w:val="00514F96"/>
    <w:rsid w:val="005155EF"/>
    <w:rsid w:val="0051794B"/>
    <w:rsid w:val="00524F2A"/>
    <w:rsid w:val="005404BC"/>
    <w:rsid w:val="00542AEA"/>
    <w:rsid w:val="00563C8F"/>
    <w:rsid w:val="005731CF"/>
    <w:rsid w:val="00574FE9"/>
    <w:rsid w:val="0058678E"/>
    <w:rsid w:val="00587215"/>
    <w:rsid w:val="005A0412"/>
    <w:rsid w:val="005A351F"/>
    <w:rsid w:val="005D6FB5"/>
    <w:rsid w:val="005D7211"/>
    <w:rsid w:val="005E465F"/>
    <w:rsid w:val="005F44C8"/>
    <w:rsid w:val="00600961"/>
    <w:rsid w:val="00632A9E"/>
    <w:rsid w:val="00640721"/>
    <w:rsid w:val="00646962"/>
    <w:rsid w:val="00670BB3"/>
    <w:rsid w:val="00676C52"/>
    <w:rsid w:val="006841C8"/>
    <w:rsid w:val="006A0845"/>
    <w:rsid w:val="006A280D"/>
    <w:rsid w:val="006B6690"/>
    <w:rsid w:val="006C2617"/>
    <w:rsid w:val="006D774E"/>
    <w:rsid w:val="0074537C"/>
    <w:rsid w:val="007518B6"/>
    <w:rsid w:val="0075567C"/>
    <w:rsid w:val="00763BD6"/>
    <w:rsid w:val="0076570C"/>
    <w:rsid w:val="0077168F"/>
    <w:rsid w:val="0077250A"/>
    <w:rsid w:val="00777BE4"/>
    <w:rsid w:val="00780D57"/>
    <w:rsid w:val="00785DD0"/>
    <w:rsid w:val="007901ED"/>
    <w:rsid w:val="007A4D02"/>
    <w:rsid w:val="007C533A"/>
    <w:rsid w:val="007D04E3"/>
    <w:rsid w:val="007E365D"/>
    <w:rsid w:val="00800592"/>
    <w:rsid w:val="00803DC2"/>
    <w:rsid w:val="00806103"/>
    <w:rsid w:val="00812B5D"/>
    <w:rsid w:val="00814B71"/>
    <w:rsid w:val="00820106"/>
    <w:rsid w:val="00821603"/>
    <w:rsid w:val="0084103E"/>
    <w:rsid w:val="00850B1F"/>
    <w:rsid w:val="00853C62"/>
    <w:rsid w:val="00861D44"/>
    <w:rsid w:val="0086589B"/>
    <w:rsid w:val="00866267"/>
    <w:rsid w:val="00871003"/>
    <w:rsid w:val="00875F20"/>
    <w:rsid w:val="008A2828"/>
    <w:rsid w:val="008A5778"/>
    <w:rsid w:val="008A5AE1"/>
    <w:rsid w:val="008B58B9"/>
    <w:rsid w:val="008E12BA"/>
    <w:rsid w:val="008E39F6"/>
    <w:rsid w:val="00900963"/>
    <w:rsid w:val="00901108"/>
    <w:rsid w:val="00902D99"/>
    <w:rsid w:val="009060DF"/>
    <w:rsid w:val="00911382"/>
    <w:rsid w:val="00937145"/>
    <w:rsid w:val="00981FB4"/>
    <w:rsid w:val="00987FD1"/>
    <w:rsid w:val="009A48CC"/>
    <w:rsid w:val="009A5232"/>
    <w:rsid w:val="009B4110"/>
    <w:rsid w:val="009D1294"/>
    <w:rsid w:val="009D780E"/>
    <w:rsid w:val="009F5ECD"/>
    <w:rsid w:val="00A062D6"/>
    <w:rsid w:val="00A06D46"/>
    <w:rsid w:val="00A15162"/>
    <w:rsid w:val="00A24CE1"/>
    <w:rsid w:val="00A25B0F"/>
    <w:rsid w:val="00A314FC"/>
    <w:rsid w:val="00A325E6"/>
    <w:rsid w:val="00A52212"/>
    <w:rsid w:val="00A60B81"/>
    <w:rsid w:val="00A62E43"/>
    <w:rsid w:val="00A74D24"/>
    <w:rsid w:val="00A775D7"/>
    <w:rsid w:val="00A837F7"/>
    <w:rsid w:val="00A87716"/>
    <w:rsid w:val="00A9212F"/>
    <w:rsid w:val="00AA6DB9"/>
    <w:rsid w:val="00AB3E40"/>
    <w:rsid w:val="00AC05D0"/>
    <w:rsid w:val="00AC23F0"/>
    <w:rsid w:val="00AD3A60"/>
    <w:rsid w:val="00AF18C8"/>
    <w:rsid w:val="00AF3F65"/>
    <w:rsid w:val="00B06684"/>
    <w:rsid w:val="00B13B90"/>
    <w:rsid w:val="00B271C8"/>
    <w:rsid w:val="00B45826"/>
    <w:rsid w:val="00B471D9"/>
    <w:rsid w:val="00B61D69"/>
    <w:rsid w:val="00B6375C"/>
    <w:rsid w:val="00B83BBA"/>
    <w:rsid w:val="00B904F3"/>
    <w:rsid w:val="00B96A10"/>
    <w:rsid w:val="00BA56BC"/>
    <w:rsid w:val="00BB1F15"/>
    <w:rsid w:val="00BB3B09"/>
    <w:rsid w:val="00BC67AE"/>
    <w:rsid w:val="00BE2367"/>
    <w:rsid w:val="00BE3E8A"/>
    <w:rsid w:val="00BE7611"/>
    <w:rsid w:val="00BF726E"/>
    <w:rsid w:val="00C006E9"/>
    <w:rsid w:val="00C2102B"/>
    <w:rsid w:val="00C21365"/>
    <w:rsid w:val="00C2178C"/>
    <w:rsid w:val="00C22CF5"/>
    <w:rsid w:val="00C31DD0"/>
    <w:rsid w:val="00C450D0"/>
    <w:rsid w:val="00C57735"/>
    <w:rsid w:val="00C57F08"/>
    <w:rsid w:val="00C7074C"/>
    <w:rsid w:val="00C83937"/>
    <w:rsid w:val="00CA682D"/>
    <w:rsid w:val="00CB6A65"/>
    <w:rsid w:val="00CC5FA3"/>
    <w:rsid w:val="00CD110A"/>
    <w:rsid w:val="00CD2956"/>
    <w:rsid w:val="00CF0011"/>
    <w:rsid w:val="00CF5156"/>
    <w:rsid w:val="00D50628"/>
    <w:rsid w:val="00D54B12"/>
    <w:rsid w:val="00D56DEB"/>
    <w:rsid w:val="00D66AA2"/>
    <w:rsid w:val="00D761F6"/>
    <w:rsid w:val="00D8539D"/>
    <w:rsid w:val="00D85728"/>
    <w:rsid w:val="00D91205"/>
    <w:rsid w:val="00DA6DD9"/>
    <w:rsid w:val="00DB1422"/>
    <w:rsid w:val="00DB4C26"/>
    <w:rsid w:val="00DB6E0B"/>
    <w:rsid w:val="00DE2034"/>
    <w:rsid w:val="00DF47A6"/>
    <w:rsid w:val="00E01FAD"/>
    <w:rsid w:val="00E03934"/>
    <w:rsid w:val="00E11048"/>
    <w:rsid w:val="00E112D2"/>
    <w:rsid w:val="00E4479B"/>
    <w:rsid w:val="00E46FF6"/>
    <w:rsid w:val="00E544EB"/>
    <w:rsid w:val="00E62340"/>
    <w:rsid w:val="00E62810"/>
    <w:rsid w:val="00E67DB6"/>
    <w:rsid w:val="00E74C0B"/>
    <w:rsid w:val="00E967FB"/>
    <w:rsid w:val="00E9736B"/>
    <w:rsid w:val="00EA1779"/>
    <w:rsid w:val="00EB58D0"/>
    <w:rsid w:val="00EB7A77"/>
    <w:rsid w:val="00EC79A1"/>
    <w:rsid w:val="00ED4C84"/>
    <w:rsid w:val="00EE609D"/>
    <w:rsid w:val="00EE682A"/>
    <w:rsid w:val="00EF20EA"/>
    <w:rsid w:val="00F11687"/>
    <w:rsid w:val="00F266CF"/>
    <w:rsid w:val="00F27563"/>
    <w:rsid w:val="00F31B95"/>
    <w:rsid w:val="00F402FF"/>
    <w:rsid w:val="00F469A7"/>
    <w:rsid w:val="00F515B3"/>
    <w:rsid w:val="00F814E9"/>
    <w:rsid w:val="00F94CF4"/>
    <w:rsid w:val="00F960A1"/>
    <w:rsid w:val="00FA0631"/>
    <w:rsid w:val="00FC028D"/>
    <w:rsid w:val="00FC4DB3"/>
    <w:rsid w:val="00FC7802"/>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0CF8A"/>
  <w15:docId w15:val="{54B27F49-07E7-4F4A-A65B-DEE27856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0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6690"/>
    <w:rPr>
      <w:rFonts w:cs="Times New Roman"/>
      <w:color w:val="0000FF"/>
      <w:u w:val="single"/>
    </w:rPr>
  </w:style>
  <w:style w:type="table" w:styleId="TableGrid">
    <w:name w:val="Table Grid"/>
    <w:basedOn w:val="TableNormal"/>
    <w:uiPriority w:val="99"/>
    <w:rsid w:val="00E623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42BA9"/>
    <w:pPr>
      <w:ind w:left="720"/>
      <w:contextualSpacing/>
    </w:pPr>
  </w:style>
  <w:style w:type="paragraph" w:styleId="BalloonText">
    <w:name w:val="Balloon Text"/>
    <w:basedOn w:val="Normal"/>
    <w:link w:val="BalloonTextChar"/>
    <w:uiPriority w:val="99"/>
    <w:semiHidden/>
    <w:rsid w:val="00B83B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D0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2859">
      <w:marLeft w:val="0"/>
      <w:marRight w:val="0"/>
      <w:marTop w:val="0"/>
      <w:marBottom w:val="0"/>
      <w:divBdr>
        <w:top w:val="none" w:sz="0" w:space="0" w:color="auto"/>
        <w:left w:val="none" w:sz="0" w:space="0" w:color="auto"/>
        <w:bottom w:val="none" w:sz="0" w:space="0" w:color="auto"/>
        <w:right w:val="none" w:sz="0" w:space="0" w:color="auto"/>
      </w:divBdr>
    </w:div>
    <w:div w:id="2076312860">
      <w:marLeft w:val="0"/>
      <w:marRight w:val="0"/>
      <w:marTop w:val="0"/>
      <w:marBottom w:val="0"/>
      <w:divBdr>
        <w:top w:val="none" w:sz="0" w:space="0" w:color="auto"/>
        <w:left w:val="none" w:sz="0" w:space="0" w:color="auto"/>
        <w:bottom w:val="none" w:sz="0" w:space="0" w:color="auto"/>
        <w:right w:val="none" w:sz="0" w:space="0" w:color="auto"/>
      </w:divBdr>
    </w:div>
    <w:div w:id="2076312861">
      <w:marLeft w:val="0"/>
      <w:marRight w:val="0"/>
      <w:marTop w:val="0"/>
      <w:marBottom w:val="0"/>
      <w:divBdr>
        <w:top w:val="none" w:sz="0" w:space="0" w:color="auto"/>
        <w:left w:val="none" w:sz="0" w:space="0" w:color="auto"/>
        <w:bottom w:val="none" w:sz="0" w:space="0" w:color="auto"/>
        <w:right w:val="none" w:sz="0" w:space="0" w:color="auto"/>
      </w:divBdr>
    </w:div>
    <w:div w:id="2076312862">
      <w:marLeft w:val="0"/>
      <w:marRight w:val="0"/>
      <w:marTop w:val="0"/>
      <w:marBottom w:val="0"/>
      <w:divBdr>
        <w:top w:val="none" w:sz="0" w:space="0" w:color="auto"/>
        <w:left w:val="none" w:sz="0" w:space="0" w:color="auto"/>
        <w:bottom w:val="none" w:sz="0" w:space="0" w:color="auto"/>
        <w:right w:val="none" w:sz="0" w:space="0" w:color="auto"/>
      </w:divBdr>
    </w:div>
    <w:div w:id="2076312863">
      <w:marLeft w:val="0"/>
      <w:marRight w:val="0"/>
      <w:marTop w:val="0"/>
      <w:marBottom w:val="0"/>
      <w:divBdr>
        <w:top w:val="none" w:sz="0" w:space="0" w:color="auto"/>
        <w:left w:val="none" w:sz="0" w:space="0" w:color="auto"/>
        <w:bottom w:val="none" w:sz="0" w:space="0" w:color="auto"/>
        <w:right w:val="none" w:sz="0" w:space="0" w:color="auto"/>
      </w:divBdr>
    </w:div>
    <w:div w:id="2076312864">
      <w:marLeft w:val="0"/>
      <w:marRight w:val="0"/>
      <w:marTop w:val="0"/>
      <w:marBottom w:val="0"/>
      <w:divBdr>
        <w:top w:val="none" w:sz="0" w:space="0" w:color="auto"/>
        <w:left w:val="none" w:sz="0" w:space="0" w:color="auto"/>
        <w:bottom w:val="none" w:sz="0" w:space="0" w:color="auto"/>
        <w:right w:val="none" w:sz="0" w:space="0" w:color="auto"/>
      </w:divBdr>
    </w:div>
    <w:div w:id="2076312865">
      <w:marLeft w:val="0"/>
      <w:marRight w:val="0"/>
      <w:marTop w:val="0"/>
      <w:marBottom w:val="0"/>
      <w:divBdr>
        <w:top w:val="none" w:sz="0" w:space="0" w:color="auto"/>
        <w:left w:val="none" w:sz="0" w:space="0" w:color="auto"/>
        <w:bottom w:val="none" w:sz="0" w:space="0" w:color="auto"/>
        <w:right w:val="none" w:sz="0" w:space="0" w:color="auto"/>
      </w:divBdr>
    </w:div>
    <w:div w:id="207631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gov/safewater/le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5ACC-4809-4DFF-B602-3BAA0A7B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ROSEVILLE WATER DEPARTMENT</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ROSEVILLE WATER DEPARTMENT</dc:title>
  <dc:creator>candb</dc:creator>
  <cp:lastModifiedBy>Roseville Water</cp:lastModifiedBy>
  <cp:revision>2</cp:revision>
  <cp:lastPrinted>2021-01-20T19:03:00Z</cp:lastPrinted>
  <dcterms:created xsi:type="dcterms:W3CDTF">2022-04-07T14:44:00Z</dcterms:created>
  <dcterms:modified xsi:type="dcterms:W3CDTF">2022-04-07T14:44:00Z</dcterms:modified>
</cp:coreProperties>
</file>